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B62A6" w14:textId="77777777" w:rsidR="00191467" w:rsidRPr="00605205" w:rsidRDefault="0083395A" w:rsidP="0083395A">
      <w:pPr>
        <w:ind w:firstLine="0"/>
        <w:rPr>
          <w:rFonts w:ascii="Times New Roman" w:hAnsi="Times New Roman" w:cs="Times New Roman"/>
          <w:b/>
          <w:sz w:val="24"/>
          <w:szCs w:val="24"/>
        </w:rPr>
      </w:pPr>
      <w:r w:rsidRPr="00605205">
        <w:rPr>
          <w:rFonts w:ascii="Times New Roman" w:hAnsi="Times New Roman" w:cs="Times New Roman"/>
          <w:b/>
          <w:sz w:val="24"/>
          <w:szCs w:val="24"/>
        </w:rPr>
        <w:t>Introduction</w:t>
      </w:r>
    </w:p>
    <w:p w14:paraId="74D456C4" w14:textId="77777777" w:rsidR="0083395A" w:rsidRPr="00605205" w:rsidRDefault="0083395A" w:rsidP="002A3432">
      <w:pPr>
        <w:rPr>
          <w:rFonts w:ascii="Times New Roman" w:hAnsi="Times New Roman" w:cs="Times New Roman"/>
          <w:sz w:val="24"/>
          <w:szCs w:val="24"/>
        </w:rPr>
      </w:pPr>
      <w:r w:rsidRPr="00605205">
        <w:rPr>
          <w:rFonts w:ascii="Times New Roman" w:hAnsi="Times New Roman" w:cs="Times New Roman"/>
          <w:sz w:val="24"/>
          <w:szCs w:val="24"/>
        </w:rPr>
        <w:t xml:space="preserve">As consumer have become more aware of their spending, they have also become more aware of their spending power. In fact, </w:t>
      </w:r>
      <w:r w:rsidR="00605205" w:rsidRPr="00605205">
        <w:rPr>
          <w:rFonts w:ascii="Times New Roman" w:hAnsi="Times New Roman" w:cs="Times New Roman"/>
          <w:sz w:val="24"/>
          <w:szCs w:val="24"/>
        </w:rPr>
        <w:t>consumers’</w:t>
      </w:r>
      <w:r w:rsidRPr="00605205">
        <w:rPr>
          <w:rFonts w:ascii="Times New Roman" w:hAnsi="Times New Roman" w:cs="Times New Roman"/>
          <w:sz w:val="24"/>
          <w:szCs w:val="24"/>
        </w:rPr>
        <w:t xml:space="preserve"> </w:t>
      </w:r>
      <w:r w:rsidR="00E54BBC" w:rsidRPr="00605205">
        <w:rPr>
          <w:rFonts w:ascii="Times New Roman" w:hAnsi="Times New Roman" w:cs="Times New Roman"/>
          <w:sz w:val="24"/>
          <w:szCs w:val="24"/>
        </w:rPr>
        <w:t xml:space="preserve">holiday </w:t>
      </w:r>
      <w:r w:rsidRPr="00605205">
        <w:rPr>
          <w:rFonts w:ascii="Times New Roman" w:hAnsi="Times New Roman" w:cs="Times New Roman"/>
          <w:sz w:val="24"/>
          <w:szCs w:val="24"/>
        </w:rPr>
        <w:t xml:space="preserve">spending habits </w:t>
      </w:r>
      <w:r w:rsidR="00E54BBC" w:rsidRPr="00605205">
        <w:rPr>
          <w:rFonts w:ascii="Times New Roman" w:hAnsi="Times New Roman" w:cs="Times New Roman"/>
          <w:sz w:val="24"/>
          <w:szCs w:val="24"/>
        </w:rPr>
        <w:t>only come second to summer fun spending</w:t>
      </w:r>
      <w:sdt>
        <w:sdtPr>
          <w:rPr>
            <w:rFonts w:ascii="Times New Roman" w:hAnsi="Times New Roman" w:cs="Times New Roman"/>
            <w:sz w:val="24"/>
            <w:szCs w:val="24"/>
          </w:rPr>
          <w:id w:val="-31574837"/>
          <w:citation/>
        </w:sdtPr>
        <w:sdtEndPr/>
        <w:sdtContent>
          <w:r w:rsidR="00E54BBC" w:rsidRPr="00605205">
            <w:rPr>
              <w:rFonts w:ascii="Times New Roman" w:hAnsi="Times New Roman" w:cs="Times New Roman"/>
              <w:sz w:val="24"/>
              <w:szCs w:val="24"/>
            </w:rPr>
            <w:fldChar w:fldCharType="begin"/>
          </w:r>
          <w:r w:rsidR="00E54BBC" w:rsidRPr="00605205">
            <w:rPr>
              <w:rFonts w:ascii="Times New Roman" w:hAnsi="Times New Roman" w:cs="Times New Roman"/>
              <w:sz w:val="24"/>
              <w:szCs w:val="24"/>
            </w:rPr>
            <w:instrText xml:space="preserve"> CITATION ING14 \l 1033 </w:instrText>
          </w:r>
          <w:r w:rsidR="00E54BBC" w:rsidRPr="00605205">
            <w:rPr>
              <w:rFonts w:ascii="Times New Roman" w:hAnsi="Times New Roman" w:cs="Times New Roman"/>
              <w:sz w:val="24"/>
              <w:szCs w:val="24"/>
            </w:rPr>
            <w:fldChar w:fldCharType="separate"/>
          </w:r>
          <w:r w:rsidR="00E54BBC" w:rsidRPr="00605205">
            <w:rPr>
              <w:rFonts w:ascii="Times New Roman" w:hAnsi="Times New Roman" w:cs="Times New Roman"/>
              <w:noProof/>
              <w:sz w:val="24"/>
              <w:szCs w:val="24"/>
            </w:rPr>
            <w:t xml:space="preserve"> (ING Groep N.V., 2014)</w:t>
          </w:r>
          <w:r w:rsidR="00E54BBC" w:rsidRPr="00605205">
            <w:rPr>
              <w:rFonts w:ascii="Times New Roman" w:hAnsi="Times New Roman" w:cs="Times New Roman"/>
              <w:sz w:val="24"/>
              <w:szCs w:val="24"/>
            </w:rPr>
            <w:fldChar w:fldCharType="end"/>
          </w:r>
        </w:sdtContent>
      </w:sdt>
      <w:r w:rsidR="00E54BBC" w:rsidRPr="00605205">
        <w:rPr>
          <w:rFonts w:ascii="Times New Roman" w:hAnsi="Times New Roman" w:cs="Times New Roman"/>
          <w:sz w:val="24"/>
          <w:szCs w:val="24"/>
        </w:rPr>
        <w:t xml:space="preserve">. </w:t>
      </w:r>
      <w:r w:rsidR="00872CFB" w:rsidRPr="00605205">
        <w:rPr>
          <w:rFonts w:ascii="Times New Roman" w:hAnsi="Times New Roman" w:cs="Times New Roman"/>
          <w:sz w:val="24"/>
          <w:szCs w:val="24"/>
        </w:rPr>
        <w:t>With the holiday season approaching and gifting will drive the consumers market from</w:t>
      </w:r>
      <w:r w:rsidRPr="00605205">
        <w:rPr>
          <w:rFonts w:ascii="Times New Roman" w:hAnsi="Times New Roman" w:cs="Times New Roman"/>
          <w:sz w:val="24"/>
          <w:szCs w:val="24"/>
        </w:rPr>
        <w:t xml:space="preserve"> November through January</w:t>
      </w:r>
      <w:r w:rsidR="00872CFB" w:rsidRPr="00605205">
        <w:rPr>
          <w:rFonts w:ascii="Times New Roman" w:hAnsi="Times New Roman" w:cs="Times New Roman"/>
          <w:sz w:val="24"/>
          <w:szCs w:val="24"/>
        </w:rPr>
        <w:t>; o</w:t>
      </w:r>
      <w:r w:rsidRPr="00605205">
        <w:rPr>
          <w:rFonts w:ascii="Times New Roman" w:hAnsi="Times New Roman" w:cs="Times New Roman"/>
          <w:sz w:val="24"/>
          <w:szCs w:val="24"/>
        </w:rPr>
        <w:t>ur group has decided to evaluate The Gap, Inc</w:t>
      </w:r>
      <w:proofErr w:type="gramStart"/>
      <w:r w:rsidRPr="00605205">
        <w:rPr>
          <w:rFonts w:ascii="Times New Roman" w:hAnsi="Times New Roman" w:cs="Times New Roman"/>
          <w:sz w:val="24"/>
          <w:szCs w:val="24"/>
        </w:rPr>
        <w:t>.(</w:t>
      </w:r>
      <w:proofErr w:type="gramEnd"/>
      <w:r w:rsidRPr="00605205">
        <w:rPr>
          <w:rFonts w:ascii="Times New Roman" w:hAnsi="Times New Roman" w:cs="Times New Roman"/>
          <w:sz w:val="24"/>
          <w:szCs w:val="24"/>
        </w:rPr>
        <w:t xml:space="preserve">GPS) versus American Eagle (AEO). </w:t>
      </w:r>
      <w:r w:rsidR="002A3432" w:rsidRPr="00605205">
        <w:rPr>
          <w:rFonts w:ascii="Times New Roman" w:hAnsi="Times New Roman" w:cs="Times New Roman"/>
          <w:sz w:val="24"/>
          <w:szCs w:val="24"/>
        </w:rPr>
        <w:t xml:space="preserve">Gap Inc. is the largest specialty retailer in the United States, and is 3rd in total international locations, behind </w:t>
      </w:r>
      <w:proofErr w:type="spellStart"/>
      <w:r w:rsidR="002A3432" w:rsidRPr="00605205">
        <w:rPr>
          <w:rFonts w:ascii="Times New Roman" w:hAnsi="Times New Roman" w:cs="Times New Roman"/>
          <w:sz w:val="24"/>
          <w:szCs w:val="24"/>
        </w:rPr>
        <w:t>Inditex</w:t>
      </w:r>
      <w:proofErr w:type="spellEnd"/>
      <w:r w:rsidR="002A3432" w:rsidRPr="00605205">
        <w:rPr>
          <w:rFonts w:ascii="Times New Roman" w:hAnsi="Times New Roman" w:cs="Times New Roman"/>
          <w:sz w:val="24"/>
          <w:szCs w:val="24"/>
        </w:rPr>
        <w:t xml:space="preserve"> Group and H&amp;M</w:t>
      </w:r>
      <w:sdt>
        <w:sdtPr>
          <w:rPr>
            <w:rFonts w:ascii="Times New Roman" w:hAnsi="Times New Roman" w:cs="Times New Roman"/>
            <w:sz w:val="24"/>
            <w:szCs w:val="24"/>
          </w:rPr>
          <w:id w:val="-2056837181"/>
          <w:citation/>
        </w:sdtPr>
        <w:sdtEndPr/>
        <w:sdtContent>
          <w:r w:rsidR="002A3432" w:rsidRPr="00605205">
            <w:rPr>
              <w:rFonts w:ascii="Times New Roman" w:hAnsi="Times New Roman" w:cs="Times New Roman"/>
              <w:sz w:val="24"/>
              <w:szCs w:val="24"/>
            </w:rPr>
            <w:fldChar w:fldCharType="begin"/>
          </w:r>
          <w:r w:rsidR="002A3432" w:rsidRPr="00605205">
            <w:rPr>
              <w:rFonts w:ascii="Times New Roman" w:hAnsi="Times New Roman" w:cs="Times New Roman"/>
              <w:sz w:val="24"/>
              <w:szCs w:val="24"/>
            </w:rPr>
            <w:instrText xml:space="preserve"> CITATION Wik18 \l 1033 </w:instrText>
          </w:r>
          <w:r w:rsidR="002A3432" w:rsidRPr="00605205">
            <w:rPr>
              <w:rFonts w:ascii="Times New Roman" w:hAnsi="Times New Roman" w:cs="Times New Roman"/>
              <w:sz w:val="24"/>
              <w:szCs w:val="24"/>
            </w:rPr>
            <w:fldChar w:fldCharType="separate"/>
          </w:r>
          <w:r w:rsidR="002A3432" w:rsidRPr="00605205">
            <w:rPr>
              <w:rFonts w:ascii="Times New Roman" w:hAnsi="Times New Roman" w:cs="Times New Roman"/>
              <w:noProof/>
              <w:sz w:val="24"/>
              <w:szCs w:val="24"/>
            </w:rPr>
            <w:t xml:space="preserve"> (Wikipedia, 2018)</w:t>
          </w:r>
          <w:r w:rsidR="002A3432" w:rsidRPr="00605205">
            <w:rPr>
              <w:rFonts w:ascii="Times New Roman" w:hAnsi="Times New Roman" w:cs="Times New Roman"/>
              <w:sz w:val="24"/>
              <w:szCs w:val="24"/>
            </w:rPr>
            <w:fldChar w:fldCharType="end"/>
          </w:r>
        </w:sdtContent>
      </w:sdt>
      <w:r w:rsidR="002A3432" w:rsidRPr="00605205">
        <w:rPr>
          <w:rFonts w:ascii="Times New Roman" w:hAnsi="Times New Roman" w:cs="Times New Roman"/>
          <w:sz w:val="24"/>
          <w:szCs w:val="24"/>
        </w:rPr>
        <w:t xml:space="preserve">. </w:t>
      </w:r>
      <w:r w:rsidR="00174643" w:rsidRPr="00605205">
        <w:rPr>
          <w:rFonts w:ascii="Times New Roman" w:hAnsi="Times New Roman" w:cs="Times New Roman"/>
          <w:sz w:val="24"/>
          <w:szCs w:val="24"/>
        </w:rPr>
        <w:t xml:space="preserve">In comparing these two companies we will be using The Gap, Inc’s and American Eagle Outfitters, Inc. </w:t>
      </w:r>
      <w:r w:rsidR="0071390E" w:rsidRPr="00605205">
        <w:rPr>
          <w:rFonts w:ascii="Times New Roman" w:hAnsi="Times New Roman" w:cs="Times New Roman"/>
          <w:sz w:val="24"/>
          <w:szCs w:val="24"/>
        </w:rPr>
        <w:t xml:space="preserve">February 2018 </w:t>
      </w:r>
      <w:r w:rsidR="00174643" w:rsidRPr="00605205">
        <w:rPr>
          <w:rFonts w:ascii="Times New Roman" w:hAnsi="Times New Roman" w:cs="Times New Roman"/>
          <w:sz w:val="24"/>
          <w:szCs w:val="24"/>
        </w:rPr>
        <w:t xml:space="preserve">10- k report from the United States Secretary and Exchange Commission (SEC) and other trade sources such as S&amp;P. </w:t>
      </w:r>
    </w:p>
    <w:p w14:paraId="11119398" w14:textId="77777777" w:rsidR="00174643" w:rsidRPr="00605205" w:rsidRDefault="00CD249B" w:rsidP="00CD249B">
      <w:pPr>
        <w:ind w:firstLine="0"/>
        <w:rPr>
          <w:rFonts w:ascii="Times New Roman" w:hAnsi="Times New Roman" w:cs="Times New Roman"/>
          <w:b/>
          <w:sz w:val="24"/>
          <w:szCs w:val="24"/>
        </w:rPr>
      </w:pPr>
      <w:r w:rsidRPr="00605205">
        <w:rPr>
          <w:rFonts w:ascii="Times New Roman" w:hAnsi="Times New Roman" w:cs="Times New Roman"/>
          <w:b/>
          <w:sz w:val="24"/>
          <w:szCs w:val="24"/>
        </w:rPr>
        <w:t xml:space="preserve">Short Term Liquidity </w:t>
      </w:r>
    </w:p>
    <w:p w14:paraId="6A57E164" w14:textId="77777777" w:rsidR="00250EC7" w:rsidRPr="00605205" w:rsidRDefault="00CD249B" w:rsidP="00250EC7">
      <w:pPr>
        <w:rPr>
          <w:rFonts w:ascii="Times New Roman" w:hAnsi="Times New Roman" w:cs="Times New Roman"/>
          <w:sz w:val="24"/>
          <w:szCs w:val="24"/>
        </w:rPr>
      </w:pPr>
      <w:r w:rsidRPr="00605205">
        <w:rPr>
          <w:rFonts w:ascii="Times New Roman" w:hAnsi="Times New Roman" w:cs="Times New Roman"/>
          <w:sz w:val="24"/>
          <w:szCs w:val="24"/>
        </w:rPr>
        <w:t xml:space="preserve">“A company's liquidity is its ability to meet its short-term financial </w:t>
      </w:r>
      <w:r w:rsidR="00250EC7" w:rsidRPr="00605205">
        <w:rPr>
          <w:rFonts w:ascii="Times New Roman" w:hAnsi="Times New Roman" w:cs="Times New Roman"/>
          <w:sz w:val="24"/>
          <w:szCs w:val="24"/>
        </w:rPr>
        <w:t>obligation</w:t>
      </w:r>
      <w:r w:rsidRPr="00605205">
        <w:rPr>
          <w:rFonts w:ascii="Times New Roman" w:hAnsi="Times New Roman" w:cs="Times New Roman"/>
          <w:sz w:val="24"/>
          <w:szCs w:val="24"/>
        </w:rPr>
        <w:t>”</w:t>
      </w:r>
      <w:sdt>
        <w:sdtPr>
          <w:rPr>
            <w:rFonts w:ascii="Times New Roman" w:hAnsi="Times New Roman" w:cs="Times New Roman"/>
            <w:sz w:val="24"/>
            <w:szCs w:val="24"/>
          </w:rPr>
          <w:id w:val="750324607"/>
          <w:citation/>
        </w:sdtPr>
        <w:sdtEndPr/>
        <w:sdtContent>
          <w:r w:rsidRPr="00605205">
            <w:rPr>
              <w:rFonts w:ascii="Times New Roman" w:hAnsi="Times New Roman" w:cs="Times New Roman"/>
              <w:sz w:val="24"/>
              <w:szCs w:val="24"/>
            </w:rPr>
            <w:fldChar w:fldCharType="begin"/>
          </w:r>
          <w:r w:rsidRPr="00605205">
            <w:rPr>
              <w:rFonts w:ascii="Times New Roman" w:hAnsi="Times New Roman" w:cs="Times New Roman"/>
              <w:sz w:val="24"/>
              <w:szCs w:val="24"/>
            </w:rPr>
            <w:instrText xml:space="preserve"> CITATION Woh17 \l 1033 </w:instrText>
          </w:r>
          <w:r w:rsidRPr="00605205">
            <w:rPr>
              <w:rFonts w:ascii="Times New Roman" w:hAnsi="Times New Roman" w:cs="Times New Roman"/>
              <w:sz w:val="24"/>
              <w:szCs w:val="24"/>
            </w:rPr>
            <w:fldChar w:fldCharType="separate"/>
          </w:r>
          <w:r w:rsidRPr="00605205">
            <w:rPr>
              <w:rFonts w:ascii="Times New Roman" w:hAnsi="Times New Roman" w:cs="Times New Roman"/>
              <w:noProof/>
              <w:sz w:val="24"/>
              <w:szCs w:val="24"/>
            </w:rPr>
            <w:t xml:space="preserve"> (Wohlner, 2017)</w:t>
          </w:r>
          <w:r w:rsidRPr="00605205">
            <w:rPr>
              <w:rFonts w:ascii="Times New Roman" w:hAnsi="Times New Roman" w:cs="Times New Roman"/>
              <w:sz w:val="24"/>
              <w:szCs w:val="24"/>
            </w:rPr>
            <w:fldChar w:fldCharType="end"/>
          </w:r>
        </w:sdtContent>
      </w:sdt>
      <w:r w:rsidRPr="00605205">
        <w:rPr>
          <w:rFonts w:ascii="Times New Roman" w:hAnsi="Times New Roman" w:cs="Times New Roman"/>
          <w:sz w:val="24"/>
          <w:szCs w:val="24"/>
        </w:rPr>
        <w:t>. Liquidity ratios is computed by comparing comparing most liquid assets (cash), with its short-term liabilities. A current ratio of 1.0 or greater is an indication that the company is well-positioned to cover its cur</w:t>
      </w:r>
      <w:r w:rsidR="0071390E" w:rsidRPr="00605205">
        <w:rPr>
          <w:rFonts w:ascii="Times New Roman" w:hAnsi="Times New Roman" w:cs="Times New Roman"/>
          <w:sz w:val="24"/>
          <w:szCs w:val="24"/>
        </w:rPr>
        <w:t>rent or short-term liabilities</w:t>
      </w:r>
      <w:sdt>
        <w:sdtPr>
          <w:rPr>
            <w:rFonts w:ascii="Times New Roman" w:hAnsi="Times New Roman" w:cs="Times New Roman"/>
            <w:sz w:val="24"/>
            <w:szCs w:val="24"/>
          </w:rPr>
          <w:id w:val="749625913"/>
          <w:citation/>
        </w:sdtPr>
        <w:sdtEndPr/>
        <w:sdtContent>
          <w:r w:rsidR="0071390E" w:rsidRPr="00605205">
            <w:rPr>
              <w:rFonts w:ascii="Times New Roman" w:hAnsi="Times New Roman" w:cs="Times New Roman"/>
              <w:sz w:val="24"/>
              <w:szCs w:val="24"/>
            </w:rPr>
            <w:fldChar w:fldCharType="begin"/>
          </w:r>
          <w:r w:rsidR="0071390E" w:rsidRPr="00605205">
            <w:rPr>
              <w:rFonts w:ascii="Times New Roman" w:hAnsi="Times New Roman" w:cs="Times New Roman"/>
              <w:sz w:val="24"/>
              <w:szCs w:val="24"/>
            </w:rPr>
            <w:instrText xml:space="preserve"> CITATION Woh17 \l 1033 </w:instrText>
          </w:r>
          <w:r w:rsidR="0071390E" w:rsidRPr="00605205">
            <w:rPr>
              <w:rFonts w:ascii="Times New Roman" w:hAnsi="Times New Roman" w:cs="Times New Roman"/>
              <w:sz w:val="24"/>
              <w:szCs w:val="24"/>
            </w:rPr>
            <w:fldChar w:fldCharType="separate"/>
          </w:r>
          <w:r w:rsidR="0071390E" w:rsidRPr="00605205">
            <w:rPr>
              <w:rFonts w:ascii="Times New Roman" w:hAnsi="Times New Roman" w:cs="Times New Roman"/>
              <w:noProof/>
              <w:sz w:val="24"/>
              <w:szCs w:val="24"/>
            </w:rPr>
            <w:t xml:space="preserve"> (Wohlner, 2017)</w:t>
          </w:r>
          <w:r w:rsidR="0071390E" w:rsidRPr="00605205">
            <w:rPr>
              <w:rFonts w:ascii="Times New Roman" w:hAnsi="Times New Roman" w:cs="Times New Roman"/>
              <w:sz w:val="24"/>
              <w:szCs w:val="24"/>
            </w:rPr>
            <w:fldChar w:fldCharType="end"/>
          </w:r>
        </w:sdtContent>
      </w:sdt>
      <w:r w:rsidR="0071390E" w:rsidRPr="00605205">
        <w:rPr>
          <w:rFonts w:ascii="Times New Roman" w:hAnsi="Times New Roman" w:cs="Times New Roman"/>
          <w:sz w:val="24"/>
          <w:szCs w:val="24"/>
        </w:rPr>
        <w:t xml:space="preserve">. Adversely, a less </w:t>
      </w:r>
      <w:r w:rsidRPr="00605205">
        <w:rPr>
          <w:rFonts w:ascii="Times New Roman" w:hAnsi="Times New Roman" w:cs="Times New Roman"/>
          <w:sz w:val="24"/>
          <w:szCs w:val="24"/>
        </w:rPr>
        <w:t>than 1.0 could be a sign of trouble if the company runs into financial difficulty.</w:t>
      </w:r>
      <w:r w:rsidR="00A2426B" w:rsidRPr="00605205">
        <w:rPr>
          <w:rFonts w:ascii="Times New Roman" w:hAnsi="Times New Roman" w:cs="Times New Roman"/>
          <w:sz w:val="24"/>
          <w:szCs w:val="24"/>
        </w:rPr>
        <w:t xml:space="preserve"> </w:t>
      </w:r>
    </w:p>
    <w:p w14:paraId="486EBBDA" w14:textId="77777777" w:rsidR="00430933" w:rsidRPr="00605205" w:rsidRDefault="00430933" w:rsidP="00250EC7">
      <w:pPr>
        <w:rPr>
          <w:rFonts w:ascii="Times New Roman" w:hAnsi="Times New Roman" w:cs="Times New Roman"/>
          <w:sz w:val="24"/>
          <w:szCs w:val="24"/>
        </w:rPr>
      </w:pPr>
      <w:r w:rsidRPr="00605205">
        <w:rPr>
          <w:rFonts w:ascii="Times New Roman" w:hAnsi="Times New Roman" w:cs="Times New Roman"/>
          <w:sz w:val="24"/>
          <w:szCs w:val="24"/>
        </w:rPr>
        <w:t xml:space="preserve">In using the </w:t>
      </w:r>
      <w:r w:rsidR="006D6F38" w:rsidRPr="00605205">
        <w:rPr>
          <w:rFonts w:ascii="Times New Roman" w:hAnsi="Times New Roman" w:cs="Times New Roman"/>
          <w:sz w:val="24"/>
          <w:szCs w:val="24"/>
        </w:rPr>
        <w:t>SEC February 2018 10 – K report</w:t>
      </w:r>
      <w:r w:rsidR="009B0008" w:rsidRPr="00605205">
        <w:rPr>
          <w:rFonts w:ascii="Times New Roman" w:hAnsi="Times New Roman" w:cs="Times New Roman"/>
          <w:sz w:val="24"/>
          <w:szCs w:val="24"/>
        </w:rPr>
        <w:t>, both company’s current ratios are above average. The Gap, Inc. current ratio is</w:t>
      </w:r>
      <w:r w:rsidR="002012F0" w:rsidRPr="00605205">
        <w:rPr>
          <w:rFonts w:ascii="Times New Roman" w:hAnsi="Times New Roman" w:cs="Times New Roman"/>
          <w:sz w:val="24"/>
          <w:szCs w:val="24"/>
        </w:rPr>
        <w:t xml:space="preserve"> 1.08</w:t>
      </w:r>
      <w:r w:rsidR="009B0008" w:rsidRPr="00605205">
        <w:rPr>
          <w:rFonts w:ascii="Times New Roman" w:hAnsi="Times New Roman" w:cs="Times New Roman"/>
          <w:sz w:val="24"/>
          <w:szCs w:val="24"/>
        </w:rPr>
        <w:t xml:space="preserve"> and American </w:t>
      </w:r>
      <w:proofErr w:type="gramStart"/>
      <w:r w:rsidR="009B0008" w:rsidRPr="00605205">
        <w:rPr>
          <w:rFonts w:ascii="Times New Roman" w:hAnsi="Times New Roman" w:cs="Times New Roman"/>
          <w:sz w:val="24"/>
          <w:szCs w:val="24"/>
        </w:rPr>
        <w:t>Eagle</w:t>
      </w:r>
      <w:proofErr w:type="gramEnd"/>
      <w:r w:rsidR="009B0008" w:rsidRPr="00605205">
        <w:rPr>
          <w:rFonts w:ascii="Times New Roman" w:hAnsi="Times New Roman" w:cs="Times New Roman"/>
          <w:sz w:val="24"/>
          <w:szCs w:val="24"/>
        </w:rPr>
        <w:t xml:space="preserve"> sits at</w:t>
      </w:r>
      <w:r w:rsidR="002012F0" w:rsidRPr="00605205">
        <w:rPr>
          <w:rFonts w:ascii="Times New Roman" w:hAnsi="Times New Roman" w:cs="Times New Roman"/>
          <w:sz w:val="24"/>
          <w:szCs w:val="24"/>
        </w:rPr>
        <w:t xml:space="preserve"> .5</w:t>
      </w:r>
      <w:r w:rsidR="00DC3ABB" w:rsidRPr="00605205">
        <w:rPr>
          <w:rFonts w:ascii="Times New Roman" w:hAnsi="Times New Roman" w:cs="Times New Roman"/>
          <w:sz w:val="24"/>
          <w:szCs w:val="24"/>
        </w:rPr>
        <w:t xml:space="preserve"> (see figure 1.1)</w:t>
      </w:r>
      <w:r w:rsidR="009B0008" w:rsidRPr="00605205">
        <w:rPr>
          <w:rFonts w:ascii="Times New Roman" w:hAnsi="Times New Roman" w:cs="Times New Roman"/>
          <w:sz w:val="24"/>
          <w:szCs w:val="24"/>
        </w:rPr>
        <w:t xml:space="preserve">. These number suggest </w:t>
      </w:r>
      <w:r w:rsidR="002012F0" w:rsidRPr="00605205">
        <w:rPr>
          <w:rFonts w:ascii="Times New Roman" w:hAnsi="Times New Roman" w:cs="Times New Roman"/>
          <w:sz w:val="24"/>
          <w:szCs w:val="24"/>
        </w:rPr>
        <w:t>that the Gap, Inc. is doing well</w:t>
      </w:r>
      <w:r w:rsidR="009B0008" w:rsidRPr="00605205">
        <w:rPr>
          <w:rFonts w:ascii="Times New Roman" w:hAnsi="Times New Roman" w:cs="Times New Roman"/>
          <w:sz w:val="24"/>
          <w:szCs w:val="24"/>
        </w:rPr>
        <w:t xml:space="preserve"> in comparison to industry average. </w:t>
      </w:r>
      <w:r w:rsidR="00DC3ABB" w:rsidRPr="00605205">
        <w:rPr>
          <w:rFonts w:ascii="Times New Roman" w:hAnsi="Times New Roman" w:cs="Times New Roman"/>
          <w:sz w:val="24"/>
          <w:szCs w:val="24"/>
        </w:rPr>
        <w:t xml:space="preserve">However, </w:t>
      </w:r>
      <w:r w:rsidR="002012F0" w:rsidRPr="00605205">
        <w:rPr>
          <w:rFonts w:ascii="Times New Roman" w:hAnsi="Times New Roman" w:cs="Times New Roman"/>
          <w:sz w:val="24"/>
          <w:szCs w:val="24"/>
        </w:rPr>
        <w:t>the AEO is a little below national average.</w:t>
      </w:r>
      <w:r w:rsidR="00DC3ABB" w:rsidRPr="00605205">
        <w:rPr>
          <w:rFonts w:ascii="Times New Roman" w:hAnsi="Times New Roman" w:cs="Times New Roman"/>
          <w:sz w:val="24"/>
          <w:szCs w:val="24"/>
        </w:rPr>
        <w:t xml:space="preserve"> This differenc</w:t>
      </w:r>
      <w:r w:rsidR="002012F0" w:rsidRPr="00605205">
        <w:rPr>
          <w:rFonts w:ascii="Times New Roman" w:hAnsi="Times New Roman" w:cs="Times New Roman"/>
          <w:sz w:val="24"/>
          <w:szCs w:val="24"/>
        </w:rPr>
        <w:t xml:space="preserve">e </w:t>
      </w:r>
      <w:r w:rsidR="00DC3ABB" w:rsidRPr="00605205">
        <w:rPr>
          <w:rFonts w:ascii="Times New Roman" w:hAnsi="Times New Roman" w:cs="Times New Roman"/>
          <w:sz w:val="24"/>
          <w:szCs w:val="24"/>
        </w:rPr>
        <w:t xml:space="preserve">could </w:t>
      </w:r>
      <w:r w:rsidR="007D74A7" w:rsidRPr="00605205">
        <w:rPr>
          <w:rFonts w:ascii="Times New Roman" w:hAnsi="Times New Roman" w:cs="Times New Roman"/>
          <w:sz w:val="24"/>
          <w:szCs w:val="24"/>
        </w:rPr>
        <w:t>be explained by inventory</w:t>
      </w:r>
      <w:r w:rsidR="00DC3ABB" w:rsidRPr="00605205">
        <w:rPr>
          <w:rFonts w:ascii="Times New Roman" w:hAnsi="Times New Roman" w:cs="Times New Roman"/>
          <w:sz w:val="24"/>
          <w:szCs w:val="24"/>
        </w:rPr>
        <w:t xml:space="preserve">.  </w:t>
      </w:r>
    </w:p>
    <w:p w14:paraId="5B298411" w14:textId="77777777" w:rsidR="00DC3ABB" w:rsidRPr="00605205" w:rsidRDefault="00DC3ABB" w:rsidP="00250EC7">
      <w:pPr>
        <w:rPr>
          <w:rFonts w:ascii="Times New Roman" w:hAnsi="Times New Roman" w:cs="Times New Roman"/>
          <w:sz w:val="24"/>
          <w:szCs w:val="24"/>
        </w:rPr>
      </w:pPr>
      <w:r w:rsidRPr="00605205">
        <w:rPr>
          <w:rFonts w:ascii="Times New Roman" w:hAnsi="Times New Roman" w:cs="Times New Roman"/>
          <w:sz w:val="24"/>
          <w:szCs w:val="24"/>
        </w:rPr>
        <w:t xml:space="preserve">Therefore, we will also look at the quick ratio of the companies to gain a rounded picture. </w:t>
      </w:r>
      <w:r w:rsidR="007D74A7" w:rsidRPr="00605205">
        <w:rPr>
          <w:rFonts w:ascii="Times New Roman" w:hAnsi="Times New Roman" w:cs="Times New Roman"/>
          <w:sz w:val="24"/>
          <w:szCs w:val="24"/>
        </w:rPr>
        <w:t xml:space="preserve">Quick ratio is an indicator of a company’s short-term liquidity by measuring the company’s </w:t>
      </w:r>
      <w:r w:rsidR="007D74A7" w:rsidRPr="00605205">
        <w:rPr>
          <w:rFonts w:ascii="Times New Roman" w:hAnsi="Times New Roman" w:cs="Times New Roman"/>
          <w:sz w:val="24"/>
          <w:szCs w:val="24"/>
        </w:rPr>
        <w:lastRenderedPageBreak/>
        <w:t>ability to meet its short -term obligations with its most liquid assets. In short, using the</w:t>
      </w:r>
      <w:r w:rsidRPr="00605205">
        <w:rPr>
          <w:rFonts w:ascii="Times New Roman" w:hAnsi="Times New Roman" w:cs="Times New Roman"/>
          <w:sz w:val="24"/>
          <w:szCs w:val="24"/>
        </w:rPr>
        <w:t xml:space="preserve"> quick ratio </w:t>
      </w:r>
      <w:r w:rsidR="007D74A7" w:rsidRPr="00605205">
        <w:rPr>
          <w:rFonts w:ascii="Times New Roman" w:hAnsi="Times New Roman" w:cs="Times New Roman"/>
          <w:sz w:val="24"/>
          <w:szCs w:val="24"/>
        </w:rPr>
        <w:t>formula, we can now subtract the inventories impact on the ratio</w:t>
      </w:r>
      <w:r w:rsidR="0026654D" w:rsidRPr="00605205">
        <w:rPr>
          <w:rFonts w:ascii="Times New Roman" w:hAnsi="Times New Roman" w:cs="Times New Roman"/>
          <w:sz w:val="24"/>
          <w:szCs w:val="24"/>
        </w:rPr>
        <w:t>, see figure 2.1</w:t>
      </w:r>
      <w:r w:rsidR="007D74A7" w:rsidRPr="00605205">
        <w:rPr>
          <w:rFonts w:ascii="Times New Roman" w:hAnsi="Times New Roman" w:cs="Times New Roman"/>
          <w:sz w:val="24"/>
          <w:szCs w:val="24"/>
        </w:rPr>
        <w:t xml:space="preserve">. </w:t>
      </w:r>
    </w:p>
    <w:p w14:paraId="62BC7344" w14:textId="77777777" w:rsidR="00CD249B" w:rsidRPr="00605205" w:rsidRDefault="00A2426B" w:rsidP="00250EC7">
      <w:pPr>
        <w:spacing w:line="240" w:lineRule="auto"/>
        <w:ind w:firstLine="0"/>
        <w:jc w:val="center"/>
        <w:rPr>
          <w:rFonts w:ascii="Times New Roman" w:hAnsi="Times New Roman" w:cs="Times New Roman"/>
          <w:sz w:val="24"/>
          <w:szCs w:val="24"/>
        </w:rPr>
      </w:pPr>
      <w:r w:rsidRPr="00605205">
        <w:rPr>
          <w:rFonts w:ascii="Times New Roman" w:hAnsi="Times New Roman" w:cs="Times New Roman"/>
          <w:sz w:val="24"/>
          <w:szCs w:val="24"/>
        </w:rPr>
        <w:t>Figure 1.1</w:t>
      </w:r>
      <w:r w:rsidR="000209FE" w:rsidRPr="00605205">
        <w:rPr>
          <w:rFonts w:ascii="Times New Roman" w:hAnsi="Times New Roman" w:cs="Times New Roman"/>
          <w:sz w:val="24"/>
          <w:szCs w:val="24"/>
        </w:rPr>
        <w:t xml:space="preserve"> (current assets / current liabilities)</w:t>
      </w:r>
    </w:p>
    <w:tbl>
      <w:tblPr>
        <w:tblStyle w:val="TableGrid"/>
        <w:tblpPr w:leftFromText="180" w:rightFromText="180" w:vertAnchor="text" w:horzAnchor="page" w:tblpX="1897" w:tblpY="204"/>
        <w:tblW w:w="0" w:type="auto"/>
        <w:tblLook w:val="04A0" w:firstRow="1" w:lastRow="0" w:firstColumn="1" w:lastColumn="0" w:noHBand="0" w:noVBand="1"/>
      </w:tblPr>
      <w:tblGrid>
        <w:gridCol w:w="2337"/>
        <w:gridCol w:w="2337"/>
        <w:gridCol w:w="2338"/>
        <w:gridCol w:w="2338"/>
      </w:tblGrid>
      <w:tr w:rsidR="00A2426B" w:rsidRPr="00605205" w14:paraId="75B921F5" w14:textId="77777777" w:rsidTr="00A2426B">
        <w:tc>
          <w:tcPr>
            <w:tcW w:w="2337" w:type="dxa"/>
          </w:tcPr>
          <w:p w14:paraId="729ED18A" w14:textId="77777777" w:rsidR="00A2426B" w:rsidRPr="00605205" w:rsidRDefault="00A2426B" w:rsidP="00A2426B">
            <w:pPr>
              <w:ind w:firstLine="0"/>
              <w:rPr>
                <w:rFonts w:ascii="Times New Roman" w:hAnsi="Times New Roman" w:cs="Times New Roman"/>
                <w:sz w:val="24"/>
                <w:szCs w:val="24"/>
              </w:rPr>
            </w:pPr>
          </w:p>
        </w:tc>
        <w:tc>
          <w:tcPr>
            <w:tcW w:w="2337" w:type="dxa"/>
          </w:tcPr>
          <w:p w14:paraId="51D9932B" w14:textId="77777777" w:rsidR="00A2426B" w:rsidRPr="00605205" w:rsidRDefault="00A2426B" w:rsidP="00A2426B">
            <w:pPr>
              <w:ind w:firstLine="0"/>
              <w:rPr>
                <w:rFonts w:ascii="Times New Roman" w:hAnsi="Times New Roman" w:cs="Times New Roman"/>
                <w:sz w:val="24"/>
                <w:szCs w:val="24"/>
              </w:rPr>
            </w:pPr>
            <w:r w:rsidRPr="00605205">
              <w:rPr>
                <w:rFonts w:ascii="Times New Roman" w:hAnsi="Times New Roman" w:cs="Times New Roman"/>
                <w:sz w:val="24"/>
                <w:szCs w:val="24"/>
              </w:rPr>
              <w:t xml:space="preserve">Currents Assets </w:t>
            </w:r>
          </w:p>
        </w:tc>
        <w:tc>
          <w:tcPr>
            <w:tcW w:w="2338" w:type="dxa"/>
          </w:tcPr>
          <w:p w14:paraId="22EFB22A" w14:textId="77777777" w:rsidR="00A2426B" w:rsidRPr="00605205" w:rsidRDefault="00A2426B" w:rsidP="00A2426B">
            <w:pPr>
              <w:ind w:firstLine="0"/>
              <w:rPr>
                <w:rFonts w:ascii="Times New Roman" w:hAnsi="Times New Roman" w:cs="Times New Roman"/>
                <w:sz w:val="24"/>
                <w:szCs w:val="24"/>
              </w:rPr>
            </w:pPr>
            <w:r w:rsidRPr="00605205">
              <w:rPr>
                <w:rFonts w:ascii="Times New Roman" w:hAnsi="Times New Roman" w:cs="Times New Roman"/>
                <w:sz w:val="24"/>
                <w:szCs w:val="24"/>
              </w:rPr>
              <w:t>Current Liabilities</w:t>
            </w:r>
          </w:p>
        </w:tc>
        <w:tc>
          <w:tcPr>
            <w:tcW w:w="2338" w:type="dxa"/>
          </w:tcPr>
          <w:p w14:paraId="6092AB0E" w14:textId="77777777" w:rsidR="00A2426B" w:rsidRPr="00605205" w:rsidRDefault="00A2426B" w:rsidP="00A2426B">
            <w:pPr>
              <w:ind w:firstLine="0"/>
              <w:rPr>
                <w:rFonts w:ascii="Times New Roman" w:hAnsi="Times New Roman" w:cs="Times New Roman"/>
                <w:sz w:val="24"/>
                <w:szCs w:val="24"/>
              </w:rPr>
            </w:pPr>
            <w:r w:rsidRPr="00605205">
              <w:rPr>
                <w:rFonts w:ascii="Times New Roman" w:hAnsi="Times New Roman" w:cs="Times New Roman"/>
                <w:sz w:val="24"/>
                <w:szCs w:val="24"/>
              </w:rPr>
              <w:t>Current Ratio</w:t>
            </w:r>
          </w:p>
        </w:tc>
      </w:tr>
      <w:tr w:rsidR="00A2426B" w:rsidRPr="00605205" w14:paraId="246D8765" w14:textId="77777777" w:rsidTr="00A2426B">
        <w:tc>
          <w:tcPr>
            <w:tcW w:w="2337" w:type="dxa"/>
          </w:tcPr>
          <w:p w14:paraId="5A58A718" w14:textId="77777777" w:rsidR="00A2426B" w:rsidRPr="00605205" w:rsidRDefault="00A2426B" w:rsidP="00A2426B">
            <w:pPr>
              <w:ind w:firstLine="0"/>
              <w:rPr>
                <w:rFonts w:ascii="Times New Roman" w:hAnsi="Times New Roman" w:cs="Times New Roman"/>
                <w:sz w:val="24"/>
                <w:szCs w:val="24"/>
              </w:rPr>
            </w:pPr>
            <w:r w:rsidRPr="00605205">
              <w:rPr>
                <w:rFonts w:ascii="Times New Roman" w:hAnsi="Times New Roman" w:cs="Times New Roman"/>
                <w:sz w:val="24"/>
                <w:szCs w:val="24"/>
              </w:rPr>
              <w:t xml:space="preserve">The Gap, Inc. </w:t>
            </w:r>
          </w:p>
        </w:tc>
        <w:tc>
          <w:tcPr>
            <w:tcW w:w="2337" w:type="dxa"/>
          </w:tcPr>
          <w:p w14:paraId="160F1D90" w14:textId="77777777" w:rsidR="00A2426B" w:rsidRPr="00605205" w:rsidRDefault="0026654D" w:rsidP="00A2426B">
            <w:pPr>
              <w:ind w:firstLine="0"/>
              <w:rPr>
                <w:rFonts w:ascii="Times New Roman" w:hAnsi="Times New Roman" w:cs="Times New Roman"/>
                <w:sz w:val="24"/>
                <w:szCs w:val="24"/>
              </w:rPr>
            </w:pPr>
            <w:commentRangeStart w:id="0"/>
            <w:r w:rsidRPr="00605205">
              <w:rPr>
                <w:rFonts w:ascii="Times New Roman" w:hAnsi="Times New Roman" w:cs="Times New Roman"/>
                <w:sz w:val="24"/>
                <w:szCs w:val="24"/>
              </w:rPr>
              <w:t>4568</w:t>
            </w:r>
          </w:p>
        </w:tc>
        <w:tc>
          <w:tcPr>
            <w:tcW w:w="2338" w:type="dxa"/>
          </w:tcPr>
          <w:p w14:paraId="5CEDC89F" w14:textId="77777777" w:rsidR="00A2426B" w:rsidRPr="00605205" w:rsidRDefault="0026654D" w:rsidP="00A2426B">
            <w:pPr>
              <w:ind w:firstLine="0"/>
              <w:rPr>
                <w:rFonts w:ascii="Times New Roman" w:hAnsi="Times New Roman" w:cs="Times New Roman"/>
                <w:sz w:val="24"/>
                <w:szCs w:val="24"/>
              </w:rPr>
            </w:pPr>
            <w:r w:rsidRPr="00605205">
              <w:rPr>
                <w:rFonts w:ascii="Times New Roman" w:hAnsi="Times New Roman" w:cs="Times New Roman"/>
                <w:sz w:val="24"/>
                <w:szCs w:val="24"/>
              </w:rPr>
              <w:t>2461</w:t>
            </w:r>
            <w:commentRangeEnd w:id="0"/>
            <w:r w:rsidR="00DF4E13">
              <w:rPr>
                <w:rStyle w:val="CommentReference"/>
              </w:rPr>
              <w:commentReference w:id="0"/>
            </w:r>
          </w:p>
        </w:tc>
        <w:tc>
          <w:tcPr>
            <w:tcW w:w="2338" w:type="dxa"/>
          </w:tcPr>
          <w:p w14:paraId="29365527" w14:textId="77777777" w:rsidR="00A2426B" w:rsidRPr="00605205" w:rsidRDefault="00B00FDD" w:rsidP="00A2426B">
            <w:pPr>
              <w:ind w:firstLine="0"/>
              <w:rPr>
                <w:rFonts w:ascii="Times New Roman" w:hAnsi="Times New Roman" w:cs="Times New Roman"/>
                <w:sz w:val="24"/>
                <w:szCs w:val="24"/>
              </w:rPr>
            </w:pPr>
            <w:r w:rsidRPr="00605205">
              <w:rPr>
                <w:rFonts w:ascii="Times New Roman" w:hAnsi="Times New Roman" w:cs="Times New Roman"/>
                <w:sz w:val="24"/>
                <w:szCs w:val="24"/>
              </w:rPr>
              <w:t>1.</w:t>
            </w:r>
            <w:r w:rsidR="002012F0" w:rsidRPr="00605205">
              <w:rPr>
                <w:rFonts w:ascii="Times New Roman" w:hAnsi="Times New Roman" w:cs="Times New Roman"/>
                <w:sz w:val="24"/>
                <w:szCs w:val="24"/>
              </w:rPr>
              <w:t>0</w:t>
            </w:r>
            <w:r w:rsidRPr="00605205">
              <w:rPr>
                <w:rFonts w:ascii="Times New Roman" w:hAnsi="Times New Roman" w:cs="Times New Roman"/>
                <w:sz w:val="24"/>
                <w:szCs w:val="24"/>
              </w:rPr>
              <w:t>8</w:t>
            </w:r>
          </w:p>
        </w:tc>
      </w:tr>
      <w:tr w:rsidR="00A2426B" w:rsidRPr="00605205" w14:paraId="2634035C" w14:textId="77777777" w:rsidTr="00A2426B">
        <w:tc>
          <w:tcPr>
            <w:tcW w:w="2337" w:type="dxa"/>
          </w:tcPr>
          <w:p w14:paraId="18EFF972" w14:textId="77777777" w:rsidR="00A2426B" w:rsidRPr="00605205" w:rsidRDefault="00A2426B" w:rsidP="00A2426B">
            <w:pPr>
              <w:ind w:firstLine="0"/>
              <w:rPr>
                <w:rFonts w:ascii="Times New Roman" w:hAnsi="Times New Roman" w:cs="Times New Roman"/>
                <w:sz w:val="24"/>
                <w:szCs w:val="24"/>
              </w:rPr>
            </w:pPr>
            <w:r w:rsidRPr="00605205">
              <w:rPr>
                <w:rFonts w:ascii="Times New Roman" w:hAnsi="Times New Roman" w:cs="Times New Roman"/>
                <w:sz w:val="24"/>
                <w:szCs w:val="24"/>
              </w:rPr>
              <w:t xml:space="preserve">American Eagle Outfitters, Inc. </w:t>
            </w:r>
          </w:p>
        </w:tc>
        <w:tc>
          <w:tcPr>
            <w:tcW w:w="2337" w:type="dxa"/>
          </w:tcPr>
          <w:p w14:paraId="49415664" w14:textId="77777777" w:rsidR="00A2426B" w:rsidRPr="00605205" w:rsidRDefault="0026654D" w:rsidP="00A2426B">
            <w:pPr>
              <w:ind w:firstLine="0"/>
              <w:rPr>
                <w:rFonts w:ascii="Times New Roman" w:hAnsi="Times New Roman" w:cs="Times New Roman"/>
                <w:sz w:val="24"/>
                <w:szCs w:val="24"/>
              </w:rPr>
            </w:pPr>
            <w:commentRangeStart w:id="1"/>
            <w:r w:rsidRPr="00605205">
              <w:rPr>
                <w:rFonts w:ascii="Times New Roman" w:hAnsi="Times New Roman" w:cs="Times New Roman"/>
                <w:sz w:val="24"/>
                <w:szCs w:val="24"/>
              </w:rPr>
              <w:t>968530</w:t>
            </w:r>
          </w:p>
        </w:tc>
        <w:tc>
          <w:tcPr>
            <w:tcW w:w="2338" w:type="dxa"/>
          </w:tcPr>
          <w:p w14:paraId="6A9C1B35" w14:textId="77777777" w:rsidR="00A2426B" w:rsidRPr="00605205" w:rsidRDefault="0026654D" w:rsidP="00A2426B">
            <w:pPr>
              <w:ind w:firstLine="0"/>
              <w:rPr>
                <w:rFonts w:ascii="Times New Roman" w:hAnsi="Times New Roman" w:cs="Times New Roman"/>
                <w:sz w:val="24"/>
                <w:szCs w:val="24"/>
              </w:rPr>
            </w:pPr>
            <w:r w:rsidRPr="00605205">
              <w:rPr>
                <w:rFonts w:ascii="Times New Roman" w:hAnsi="Times New Roman" w:cs="Times New Roman"/>
                <w:sz w:val="24"/>
                <w:szCs w:val="24"/>
              </w:rPr>
              <w:t>1816313</w:t>
            </w:r>
            <w:commentRangeEnd w:id="1"/>
            <w:r w:rsidR="00DF4E13">
              <w:rPr>
                <w:rStyle w:val="CommentReference"/>
              </w:rPr>
              <w:commentReference w:id="1"/>
            </w:r>
          </w:p>
        </w:tc>
        <w:tc>
          <w:tcPr>
            <w:tcW w:w="2338" w:type="dxa"/>
          </w:tcPr>
          <w:p w14:paraId="01CCBB24" w14:textId="77777777" w:rsidR="00A2426B" w:rsidRPr="00605205" w:rsidRDefault="002012F0" w:rsidP="00A2426B">
            <w:pPr>
              <w:ind w:firstLine="0"/>
              <w:rPr>
                <w:rFonts w:ascii="Times New Roman" w:hAnsi="Times New Roman" w:cs="Times New Roman"/>
                <w:sz w:val="24"/>
                <w:szCs w:val="24"/>
              </w:rPr>
            </w:pPr>
            <w:r w:rsidRPr="00605205">
              <w:rPr>
                <w:rFonts w:ascii="Times New Roman" w:hAnsi="Times New Roman" w:cs="Times New Roman"/>
                <w:sz w:val="24"/>
                <w:szCs w:val="24"/>
              </w:rPr>
              <w:t>.5</w:t>
            </w:r>
          </w:p>
        </w:tc>
      </w:tr>
      <w:tr w:rsidR="00A2426B" w:rsidRPr="00605205" w14:paraId="3FBCC6F4" w14:textId="77777777" w:rsidTr="00A2426B">
        <w:tc>
          <w:tcPr>
            <w:tcW w:w="2337" w:type="dxa"/>
          </w:tcPr>
          <w:p w14:paraId="3471AB81" w14:textId="77777777" w:rsidR="00A2426B" w:rsidRPr="00605205" w:rsidRDefault="006D6F38" w:rsidP="00A2426B">
            <w:pPr>
              <w:ind w:firstLine="0"/>
              <w:rPr>
                <w:rFonts w:ascii="Times New Roman" w:hAnsi="Times New Roman" w:cs="Times New Roman"/>
                <w:sz w:val="24"/>
                <w:szCs w:val="24"/>
              </w:rPr>
            </w:pPr>
            <w:r w:rsidRPr="00605205">
              <w:rPr>
                <w:rFonts w:ascii="Times New Roman" w:hAnsi="Times New Roman" w:cs="Times New Roman"/>
                <w:sz w:val="24"/>
                <w:szCs w:val="24"/>
              </w:rPr>
              <w:t xml:space="preserve">Industry Average </w:t>
            </w:r>
          </w:p>
        </w:tc>
        <w:tc>
          <w:tcPr>
            <w:tcW w:w="2337" w:type="dxa"/>
          </w:tcPr>
          <w:p w14:paraId="07CD3E7F" w14:textId="77777777" w:rsidR="00A2426B" w:rsidRPr="00605205" w:rsidRDefault="00A2426B" w:rsidP="00A2426B">
            <w:pPr>
              <w:ind w:firstLine="0"/>
              <w:rPr>
                <w:rFonts w:ascii="Times New Roman" w:hAnsi="Times New Roman" w:cs="Times New Roman"/>
                <w:sz w:val="24"/>
                <w:szCs w:val="24"/>
              </w:rPr>
            </w:pPr>
          </w:p>
        </w:tc>
        <w:tc>
          <w:tcPr>
            <w:tcW w:w="2338" w:type="dxa"/>
          </w:tcPr>
          <w:p w14:paraId="67E33E50" w14:textId="77777777" w:rsidR="00A2426B" w:rsidRPr="00605205" w:rsidRDefault="00A2426B" w:rsidP="00A2426B">
            <w:pPr>
              <w:ind w:firstLine="0"/>
              <w:rPr>
                <w:rFonts w:ascii="Times New Roman" w:hAnsi="Times New Roman" w:cs="Times New Roman"/>
                <w:sz w:val="24"/>
                <w:szCs w:val="24"/>
              </w:rPr>
            </w:pPr>
          </w:p>
        </w:tc>
        <w:tc>
          <w:tcPr>
            <w:tcW w:w="2338" w:type="dxa"/>
          </w:tcPr>
          <w:p w14:paraId="13DA7B66" w14:textId="77777777" w:rsidR="00A2426B" w:rsidRPr="00605205" w:rsidRDefault="002012F0" w:rsidP="00A2426B">
            <w:pPr>
              <w:ind w:firstLine="0"/>
              <w:rPr>
                <w:rFonts w:ascii="Times New Roman" w:hAnsi="Times New Roman" w:cs="Times New Roman"/>
                <w:sz w:val="24"/>
                <w:szCs w:val="24"/>
              </w:rPr>
            </w:pPr>
            <w:r w:rsidRPr="00605205">
              <w:rPr>
                <w:rFonts w:ascii="Times New Roman" w:hAnsi="Times New Roman" w:cs="Times New Roman"/>
                <w:sz w:val="24"/>
                <w:szCs w:val="24"/>
              </w:rPr>
              <w:t>1.0</w:t>
            </w:r>
          </w:p>
        </w:tc>
      </w:tr>
    </w:tbl>
    <w:p w14:paraId="482962BF" w14:textId="77777777" w:rsidR="007D74A7" w:rsidRPr="00605205" w:rsidRDefault="007D74A7" w:rsidP="007D74A7">
      <w:pPr>
        <w:ind w:firstLine="0"/>
        <w:jc w:val="center"/>
        <w:rPr>
          <w:rFonts w:ascii="Times New Roman" w:hAnsi="Times New Roman" w:cs="Times New Roman"/>
          <w:sz w:val="24"/>
          <w:szCs w:val="24"/>
        </w:rPr>
      </w:pPr>
    </w:p>
    <w:p w14:paraId="76BE06A3" w14:textId="77777777" w:rsidR="00CD249B" w:rsidRPr="00605205" w:rsidRDefault="007D74A7"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Figure 1.2</w:t>
      </w:r>
      <w:r w:rsidR="000209FE" w:rsidRPr="00605205">
        <w:rPr>
          <w:rFonts w:ascii="Times New Roman" w:hAnsi="Times New Roman" w:cs="Times New Roman"/>
          <w:sz w:val="24"/>
          <w:szCs w:val="24"/>
        </w:rPr>
        <w:t xml:space="preserve"> ((current assets- inventory) / current liabilities)</w:t>
      </w:r>
    </w:p>
    <w:tbl>
      <w:tblPr>
        <w:tblStyle w:val="TableGrid"/>
        <w:tblW w:w="9935" w:type="dxa"/>
        <w:tblLook w:val="04A0" w:firstRow="1" w:lastRow="0" w:firstColumn="1" w:lastColumn="0" w:noHBand="0" w:noVBand="1"/>
      </w:tblPr>
      <w:tblGrid>
        <w:gridCol w:w="1987"/>
        <w:gridCol w:w="1987"/>
        <w:gridCol w:w="1987"/>
        <w:gridCol w:w="1987"/>
        <w:gridCol w:w="1987"/>
      </w:tblGrid>
      <w:tr w:rsidR="007D74A7" w:rsidRPr="00605205" w14:paraId="35CD2A0E" w14:textId="77777777" w:rsidTr="007D74A7">
        <w:trPr>
          <w:trHeight w:val="291"/>
        </w:trPr>
        <w:tc>
          <w:tcPr>
            <w:tcW w:w="1987" w:type="dxa"/>
          </w:tcPr>
          <w:p w14:paraId="73117F77" w14:textId="77777777" w:rsidR="007D74A7" w:rsidRPr="00605205" w:rsidRDefault="007D74A7" w:rsidP="007D74A7">
            <w:pPr>
              <w:ind w:firstLine="0"/>
              <w:jc w:val="center"/>
              <w:rPr>
                <w:rFonts w:ascii="Times New Roman" w:hAnsi="Times New Roman" w:cs="Times New Roman"/>
                <w:sz w:val="24"/>
                <w:szCs w:val="24"/>
              </w:rPr>
            </w:pPr>
          </w:p>
        </w:tc>
        <w:tc>
          <w:tcPr>
            <w:tcW w:w="1987" w:type="dxa"/>
          </w:tcPr>
          <w:p w14:paraId="0153F9EF" w14:textId="77777777" w:rsidR="007D74A7" w:rsidRPr="00605205" w:rsidRDefault="007C0CC0"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Current Assets</w:t>
            </w:r>
          </w:p>
        </w:tc>
        <w:tc>
          <w:tcPr>
            <w:tcW w:w="1987" w:type="dxa"/>
          </w:tcPr>
          <w:p w14:paraId="0DA8097D" w14:textId="77777777" w:rsidR="007D74A7" w:rsidRPr="00605205" w:rsidRDefault="007C0CC0"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 xml:space="preserve">Inventory </w:t>
            </w:r>
            <w:r w:rsidR="007D74A7" w:rsidRPr="00605205">
              <w:rPr>
                <w:rFonts w:ascii="Times New Roman" w:hAnsi="Times New Roman" w:cs="Times New Roman"/>
                <w:sz w:val="24"/>
                <w:szCs w:val="24"/>
              </w:rPr>
              <w:t xml:space="preserve"> </w:t>
            </w:r>
          </w:p>
        </w:tc>
        <w:tc>
          <w:tcPr>
            <w:tcW w:w="1987" w:type="dxa"/>
          </w:tcPr>
          <w:p w14:paraId="0280B4B7" w14:textId="77777777" w:rsidR="007D74A7" w:rsidRPr="00605205" w:rsidRDefault="007C0CC0"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 xml:space="preserve">Current Liabilities </w:t>
            </w:r>
            <w:r w:rsidR="007D74A7" w:rsidRPr="00605205">
              <w:rPr>
                <w:rFonts w:ascii="Times New Roman" w:hAnsi="Times New Roman" w:cs="Times New Roman"/>
                <w:sz w:val="24"/>
                <w:szCs w:val="24"/>
              </w:rPr>
              <w:t xml:space="preserve"> </w:t>
            </w:r>
          </w:p>
        </w:tc>
        <w:tc>
          <w:tcPr>
            <w:tcW w:w="1987" w:type="dxa"/>
          </w:tcPr>
          <w:p w14:paraId="1EA18738" w14:textId="77777777" w:rsidR="007D74A7" w:rsidRPr="00605205" w:rsidRDefault="007D74A7"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Quick Ratio</w:t>
            </w:r>
          </w:p>
        </w:tc>
      </w:tr>
      <w:tr w:rsidR="007D74A7" w:rsidRPr="00605205" w14:paraId="3CEA0DFE" w14:textId="77777777" w:rsidTr="007D74A7">
        <w:trPr>
          <w:trHeight w:val="291"/>
        </w:trPr>
        <w:tc>
          <w:tcPr>
            <w:tcW w:w="1987" w:type="dxa"/>
          </w:tcPr>
          <w:p w14:paraId="1AD31E7D" w14:textId="77777777" w:rsidR="007D74A7" w:rsidRPr="00605205" w:rsidRDefault="007D74A7"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The Gap, Inc.</w:t>
            </w:r>
          </w:p>
        </w:tc>
        <w:tc>
          <w:tcPr>
            <w:tcW w:w="1987" w:type="dxa"/>
          </w:tcPr>
          <w:p w14:paraId="30455077" w14:textId="77777777" w:rsidR="007D74A7" w:rsidRPr="00605205" w:rsidRDefault="0026654D"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4568</w:t>
            </w:r>
          </w:p>
        </w:tc>
        <w:tc>
          <w:tcPr>
            <w:tcW w:w="1987" w:type="dxa"/>
          </w:tcPr>
          <w:p w14:paraId="6E2CC1C4" w14:textId="77777777" w:rsidR="007D74A7" w:rsidRPr="00605205" w:rsidRDefault="0026654D"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1997</w:t>
            </w:r>
          </w:p>
        </w:tc>
        <w:tc>
          <w:tcPr>
            <w:tcW w:w="1987" w:type="dxa"/>
          </w:tcPr>
          <w:p w14:paraId="4612628E" w14:textId="77777777" w:rsidR="007D74A7" w:rsidRPr="00605205" w:rsidRDefault="0026654D"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2461</w:t>
            </w:r>
          </w:p>
        </w:tc>
        <w:tc>
          <w:tcPr>
            <w:tcW w:w="1987" w:type="dxa"/>
          </w:tcPr>
          <w:p w14:paraId="4A5BC038" w14:textId="77777777" w:rsidR="007D74A7" w:rsidRPr="00605205" w:rsidRDefault="002012F0" w:rsidP="002012F0">
            <w:pPr>
              <w:tabs>
                <w:tab w:val="left" w:pos="264"/>
              </w:tabs>
              <w:ind w:firstLine="0"/>
              <w:jc w:val="center"/>
              <w:rPr>
                <w:rFonts w:ascii="Times New Roman" w:hAnsi="Times New Roman" w:cs="Times New Roman"/>
                <w:sz w:val="24"/>
                <w:szCs w:val="24"/>
              </w:rPr>
            </w:pPr>
            <w:r w:rsidRPr="00605205">
              <w:rPr>
                <w:rFonts w:ascii="Times New Roman" w:hAnsi="Times New Roman" w:cs="Times New Roman"/>
                <w:sz w:val="24"/>
                <w:szCs w:val="24"/>
              </w:rPr>
              <w:t>1.04</w:t>
            </w:r>
          </w:p>
        </w:tc>
      </w:tr>
      <w:tr w:rsidR="007D74A7" w:rsidRPr="00605205" w14:paraId="31B86B6D" w14:textId="77777777" w:rsidTr="007D74A7">
        <w:trPr>
          <w:trHeight w:val="570"/>
        </w:trPr>
        <w:tc>
          <w:tcPr>
            <w:tcW w:w="1987" w:type="dxa"/>
          </w:tcPr>
          <w:p w14:paraId="7A27A774" w14:textId="77777777" w:rsidR="007D74A7" w:rsidRPr="00605205" w:rsidRDefault="007D74A7"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 xml:space="preserve">American Eagle Outfitter, Inc. </w:t>
            </w:r>
          </w:p>
        </w:tc>
        <w:tc>
          <w:tcPr>
            <w:tcW w:w="1987" w:type="dxa"/>
          </w:tcPr>
          <w:p w14:paraId="5E5019B4" w14:textId="77777777" w:rsidR="007D74A7" w:rsidRPr="00605205" w:rsidRDefault="0026654D"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968530</w:t>
            </w:r>
          </w:p>
        </w:tc>
        <w:tc>
          <w:tcPr>
            <w:tcW w:w="1987" w:type="dxa"/>
          </w:tcPr>
          <w:p w14:paraId="41F7054D" w14:textId="77777777" w:rsidR="007D74A7" w:rsidRPr="00605205" w:rsidRDefault="0026654D"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398213</w:t>
            </w:r>
          </w:p>
        </w:tc>
        <w:tc>
          <w:tcPr>
            <w:tcW w:w="1987" w:type="dxa"/>
          </w:tcPr>
          <w:p w14:paraId="3C933EED" w14:textId="77777777" w:rsidR="007D74A7" w:rsidRPr="00605205" w:rsidRDefault="0026654D"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1816313</w:t>
            </w:r>
          </w:p>
        </w:tc>
        <w:tc>
          <w:tcPr>
            <w:tcW w:w="1987" w:type="dxa"/>
          </w:tcPr>
          <w:p w14:paraId="77E1EFC6" w14:textId="77777777" w:rsidR="002012F0" w:rsidRPr="00605205" w:rsidRDefault="002012F0" w:rsidP="002012F0">
            <w:pPr>
              <w:ind w:firstLine="0"/>
              <w:jc w:val="center"/>
              <w:rPr>
                <w:rFonts w:ascii="Times New Roman" w:hAnsi="Times New Roman" w:cs="Times New Roman"/>
                <w:sz w:val="24"/>
                <w:szCs w:val="24"/>
              </w:rPr>
            </w:pPr>
            <w:r w:rsidRPr="00605205">
              <w:rPr>
                <w:rFonts w:ascii="Times New Roman" w:hAnsi="Times New Roman" w:cs="Times New Roman"/>
                <w:sz w:val="24"/>
                <w:szCs w:val="24"/>
              </w:rPr>
              <w:t>.3</w:t>
            </w:r>
          </w:p>
        </w:tc>
      </w:tr>
      <w:tr w:rsidR="007D74A7" w:rsidRPr="00605205" w14:paraId="207BA9F2" w14:textId="77777777" w:rsidTr="002012F0">
        <w:trPr>
          <w:trHeight w:val="359"/>
        </w:trPr>
        <w:tc>
          <w:tcPr>
            <w:tcW w:w="1987" w:type="dxa"/>
          </w:tcPr>
          <w:p w14:paraId="0AFE0F0A" w14:textId="77777777" w:rsidR="007D74A7" w:rsidRPr="00605205" w:rsidRDefault="007D74A7" w:rsidP="007D74A7">
            <w:pPr>
              <w:ind w:firstLine="0"/>
              <w:jc w:val="center"/>
              <w:rPr>
                <w:rFonts w:ascii="Times New Roman" w:hAnsi="Times New Roman" w:cs="Times New Roman"/>
                <w:sz w:val="24"/>
                <w:szCs w:val="24"/>
              </w:rPr>
            </w:pPr>
            <w:r w:rsidRPr="00605205">
              <w:rPr>
                <w:rFonts w:ascii="Times New Roman" w:hAnsi="Times New Roman" w:cs="Times New Roman"/>
                <w:sz w:val="24"/>
                <w:szCs w:val="24"/>
              </w:rPr>
              <w:t>Industry Average</w:t>
            </w:r>
          </w:p>
        </w:tc>
        <w:tc>
          <w:tcPr>
            <w:tcW w:w="1987" w:type="dxa"/>
          </w:tcPr>
          <w:p w14:paraId="4F93AF53" w14:textId="77777777" w:rsidR="007D74A7" w:rsidRPr="00605205" w:rsidRDefault="007D74A7" w:rsidP="007D74A7">
            <w:pPr>
              <w:ind w:firstLine="0"/>
              <w:jc w:val="center"/>
              <w:rPr>
                <w:rFonts w:ascii="Times New Roman" w:hAnsi="Times New Roman" w:cs="Times New Roman"/>
                <w:sz w:val="24"/>
                <w:szCs w:val="24"/>
              </w:rPr>
            </w:pPr>
          </w:p>
        </w:tc>
        <w:tc>
          <w:tcPr>
            <w:tcW w:w="1987" w:type="dxa"/>
          </w:tcPr>
          <w:p w14:paraId="6FB9E1EF" w14:textId="77777777" w:rsidR="007D74A7" w:rsidRPr="00605205" w:rsidRDefault="007D74A7" w:rsidP="007D74A7">
            <w:pPr>
              <w:ind w:firstLine="0"/>
              <w:jc w:val="center"/>
              <w:rPr>
                <w:rFonts w:ascii="Times New Roman" w:hAnsi="Times New Roman" w:cs="Times New Roman"/>
                <w:sz w:val="24"/>
                <w:szCs w:val="24"/>
              </w:rPr>
            </w:pPr>
          </w:p>
        </w:tc>
        <w:tc>
          <w:tcPr>
            <w:tcW w:w="1987" w:type="dxa"/>
          </w:tcPr>
          <w:p w14:paraId="491D8569" w14:textId="77777777" w:rsidR="007D74A7" w:rsidRPr="00605205" w:rsidRDefault="007D74A7" w:rsidP="007D74A7">
            <w:pPr>
              <w:ind w:firstLine="0"/>
              <w:jc w:val="center"/>
              <w:rPr>
                <w:rFonts w:ascii="Times New Roman" w:hAnsi="Times New Roman" w:cs="Times New Roman"/>
                <w:sz w:val="24"/>
                <w:szCs w:val="24"/>
              </w:rPr>
            </w:pPr>
          </w:p>
        </w:tc>
        <w:tc>
          <w:tcPr>
            <w:tcW w:w="1987" w:type="dxa"/>
          </w:tcPr>
          <w:p w14:paraId="0C93E317" w14:textId="77777777" w:rsidR="007D74A7" w:rsidRPr="00605205" w:rsidRDefault="002012F0" w:rsidP="002012F0">
            <w:pPr>
              <w:ind w:firstLine="0"/>
              <w:jc w:val="center"/>
              <w:rPr>
                <w:rFonts w:ascii="Times New Roman" w:hAnsi="Times New Roman" w:cs="Times New Roman"/>
                <w:sz w:val="24"/>
                <w:szCs w:val="24"/>
              </w:rPr>
            </w:pPr>
            <w:r w:rsidRPr="00605205">
              <w:rPr>
                <w:rFonts w:ascii="Times New Roman" w:hAnsi="Times New Roman" w:cs="Times New Roman"/>
                <w:sz w:val="24"/>
                <w:szCs w:val="24"/>
              </w:rPr>
              <w:t>1.0</w:t>
            </w:r>
          </w:p>
        </w:tc>
      </w:tr>
    </w:tbl>
    <w:p w14:paraId="4333726B" w14:textId="77777777" w:rsidR="001B2A11" w:rsidRPr="00605205" w:rsidRDefault="001B2A11" w:rsidP="001B2A11">
      <w:pPr>
        <w:rPr>
          <w:rFonts w:ascii="Times New Roman" w:hAnsi="Times New Roman" w:cs="Times New Roman"/>
          <w:b/>
          <w:bCs/>
          <w:sz w:val="24"/>
          <w:szCs w:val="24"/>
          <w:u w:val="single"/>
        </w:rPr>
      </w:pPr>
    </w:p>
    <w:p w14:paraId="27B953FB" w14:textId="77777777" w:rsidR="001B2A11" w:rsidRPr="00605205" w:rsidRDefault="001B2A11" w:rsidP="001B2A11">
      <w:pPr>
        <w:rPr>
          <w:rFonts w:ascii="Times New Roman" w:hAnsi="Times New Roman" w:cs="Times New Roman"/>
          <w:b/>
          <w:bCs/>
          <w:sz w:val="24"/>
          <w:szCs w:val="24"/>
          <w:u w:val="single"/>
        </w:rPr>
      </w:pPr>
      <w:r w:rsidRPr="00605205">
        <w:rPr>
          <w:rFonts w:ascii="Times New Roman" w:hAnsi="Times New Roman" w:cs="Times New Roman"/>
          <w:b/>
          <w:bCs/>
          <w:sz w:val="24"/>
          <w:szCs w:val="24"/>
          <w:u w:val="single"/>
        </w:rPr>
        <w:t>CAPITAL STRUCTURE AND SOLVENCY</w:t>
      </w:r>
    </w:p>
    <w:p w14:paraId="0BD7873F" w14:textId="77777777" w:rsidR="001B2A11" w:rsidRPr="00605205" w:rsidRDefault="001B2A11" w:rsidP="001B2A11">
      <w:pPr>
        <w:jc w:val="both"/>
        <w:rPr>
          <w:rFonts w:ascii="Times New Roman" w:hAnsi="Times New Roman" w:cs="Times New Roman"/>
          <w:sz w:val="24"/>
          <w:szCs w:val="24"/>
        </w:rPr>
      </w:pPr>
      <w:r w:rsidRPr="00605205">
        <w:rPr>
          <w:rFonts w:ascii="Times New Roman" w:hAnsi="Times New Roman" w:cs="Times New Roman"/>
          <w:sz w:val="24"/>
          <w:szCs w:val="24"/>
        </w:rPr>
        <w:t xml:space="preserve">The capital structure shows that how an organization is finances its overall operations with the use of different sources of funds available to it. There are different sources of funds available to an organization like debt funds comes in form of bond, long-term notes however equity funds comes in form of preferred stock, equity stock and retained earnings. These debt and capital funds used to fund the operations of the business; its acquisitions, its capital expenditures and other investments. Here in this part of the report the capital structure and solvency of the </w:t>
      </w:r>
      <w:proofErr w:type="spellStart"/>
      <w:r w:rsidRPr="00605205">
        <w:rPr>
          <w:rFonts w:ascii="Times New Roman" w:hAnsi="Times New Roman" w:cs="Times New Roman"/>
          <w:sz w:val="24"/>
          <w:szCs w:val="24"/>
        </w:rPr>
        <w:t>The</w:t>
      </w:r>
      <w:proofErr w:type="spellEnd"/>
      <w:r w:rsidRPr="00605205">
        <w:rPr>
          <w:rFonts w:ascii="Times New Roman" w:hAnsi="Times New Roman" w:cs="Times New Roman"/>
          <w:sz w:val="24"/>
          <w:szCs w:val="24"/>
        </w:rPr>
        <w:t xml:space="preserve"> Gap, Inc</w:t>
      </w:r>
      <w:r w:rsidR="00605205" w:rsidRPr="00605205">
        <w:rPr>
          <w:rFonts w:ascii="Times New Roman" w:hAnsi="Times New Roman" w:cs="Times New Roman"/>
          <w:sz w:val="24"/>
          <w:szCs w:val="24"/>
        </w:rPr>
        <w:t>. (</w:t>
      </w:r>
      <w:r w:rsidRPr="00605205">
        <w:rPr>
          <w:rFonts w:ascii="Times New Roman" w:hAnsi="Times New Roman" w:cs="Times New Roman"/>
          <w:sz w:val="24"/>
          <w:szCs w:val="24"/>
        </w:rPr>
        <w:t xml:space="preserve">GPS) and American Eagle (AEO) are reported based on the 10-K report. Under capital structure analysis; the total debt to equity ratio is calculated wherein the equity of the organization is compared with all the long term debt plus all short term debt. This ratio is considered as solvency for an organization; and based on that it can be measure that whether or not an organization can generate the sufficient cash to make repayment of the long term obligations. Therefore; for </w:t>
      </w:r>
      <w:r w:rsidRPr="00605205">
        <w:rPr>
          <w:rFonts w:ascii="Times New Roman" w:hAnsi="Times New Roman" w:cs="Times New Roman"/>
          <w:sz w:val="24"/>
          <w:szCs w:val="24"/>
        </w:rPr>
        <w:lastRenderedPageBreak/>
        <w:t>calculation of this ratio the total debt of the company is calculated by the total equity of the company. Higher this ratio suggest for more risky business from an investor point of view. This ratio has been analyzed in context of the industry where it differs from one industry to another.</w:t>
      </w:r>
    </w:p>
    <w:p w14:paraId="666C452A" w14:textId="77777777" w:rsidR="001B2A11" w:rsidRPr="00605205" w:rsidRDefault="001B2A11" w:rsidP="001B2A11">
      <w:pPr>
        <w:jc w:val="center"/>
        <w:rPr>
          <w:rFonts w:ascii="Times New Roman" w:hAnsi="Times New Roman" w:cs="Times New Roman"/>
          <w:sz w:val="24"/>
          <w:szCs w:val="24"/>
        </w:rPr>
      </w:pPr>
      <w:r w:rsidRPr="00605205">
        <w:rPr>
          <w:rFonts w:ascii="Times New Roman" w:hAnsi="Times New Roman" w:cs="Times New Roman"/>
          <w:sz w:val="24"/>
          <w:szCs w:val="24"/>
        </w:rPr>
        <w:t>Table 2.1: Total Debt to Equity Ratio</w:t>
      </w:r>
    </w:p>
    <w:tbl>
      <w:tblPr>
        <w:tblStyle w:val="TableGrid"/>
        <w:tblW w:w="0" w:type="auto"/>
        <w:tblLook w:val="04A0" w:firstRow="1" w:lastRow="0" w:firstColumn="1" w:lastColumn="0" w:noHBand="0" w:noVBand="1"/>
      </w:tblPr>
      <w:tblGrid>
        <w:gridCol w:w="1874"/>
        <w:gridCol w:w="1700"/>
        <w:gridCol w:w="1719"/>
        <w:gridCol w:w="2350"/>
        <w:gridCol w:w="1707"/>
      </w:tblGrid>
      <w:tr w:rsidR="001B2A11" w:rsidRPr="00605205" w14:paraId="32C6B0C7" w14:textId="77777777" w:rsidTr="00531918">
        <w:tc>
          <w:tcPr>
            <w:tcW w:w="1915" w:type="dxa"/>
          </w:tcPr>
          <w:p w14:paraId="62A64ED2"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212AC414"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Long Term Debt</w:t>
            </w:r>
          </w:p>
        </w:tc>
        <w:tc>
          <w:tcPr>
            <w:tcW w:w="1915" w:type="dxa"/>
          </w:tcPr>
          <w:p w14:paraId="00B0FB6D"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Short Term Debt</w:t>
            </w:r>
          </w:p>
        </w:tc>
        <w:tc>
          <w:tcPr>
            <w:tcW w:w="1915" w:type="dxa"/>
          </w:tcPr>
          <w:p w14:paraId="20AA3501"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Stockholder’s Equity</w:t>
            </w:r>
          </w:p>
        </w:tc>
        <w:tc>
          <w:tcPr>
            <w:tcW w:w="1916" w:type="dxa"/>
          </w:tcPr>
          <w:p w14:paraId="3CC027E1"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Total Debt to Equity Ratio</w:t>
            </w:r>
          </w:p>
        </w:tc>
      </w:tr>
      <w:tr w:rsidR="001B2A11" w:rsidRPr="00605205" w14:paraId="25E338DE" w14:textId="77777777" w:rsidTr="00531918">
        <w:tc>
          <w:tcPr>
            <w:tcW w:w="1915" w:type="dxa"/>
          </w:tcPr>
          <w:p w14:paraId="0B788FC6"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GPS</w:t>
            </w:r>
          </w:p>
        </w:tc>
        <w:tc>
          <w:tcPr>
            <w:tcW w:w="1915" w:type="dxa"/>
          </w:tcPr>
          <w:p w14:paraId="2B304B5D"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$ 1249</w:t>
            </w:r>
          </w:p>
        </w:tc>
        <w:tc>
          <w:tcPr>
            <w:tcW w:w="1915" w:type="dxa"/>
          </w:tcPr>
          <w:p w14:paraId="76C7FD9B"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w:t>
            </w:r>
          </w:p>
        </w:tc>
        <w:tc>
          <w:tcPr>
            <w:tcW w:w="1915" w:type="dxa"/>
          </w:tcPr>
          <w:p w14:paraId="715926CE"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$ 3144</w:t>
            </w:r>
          </w:p>
        </w:tc>
        <w:tc>
          <w:tcPr>
            <w:tcW w:w="1916" w:type="dxa"/>
          </w:tcPr>
          <w:p w14:paraId="0432A4A6"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0.39</w:t>
            </w:r>
          </w:p>
        </w:tc>
      </w:tr>
      <w:tr w:rsidR="001B2A11" w:rsidRPr="00605205" w14:paraId="18B78E25" w14:textId="77777777" w:rsidTr="00531918">
        <w:tc>
          <w:tcPr>
            <w:tcW w:w="1915" w:type="dxa"/>
          </w:tcPr>
          <w:p w14:paraId="190957D8"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AEO</w:t>
            </w:r>
          </w:p>
        </w:tc>
        <w:tc>
          <w:tcPr>
            <w:tcW w:w="1915" w:type="dxa"/>
          </w:tcPr>
          <w:p w14:paraId="167BBFFB"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w:t>
            </w:r>
          </w:p>
        </w:tc>
        <w:tc>
          <w:tcPr>
            <w:tcW w:w="1915" w:type="dxa"/>
          </w:tcPr>
          <w:p w14:paraId="2480B0BD"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w:t>
            </w:r>
          </w:p>
        </w:tc>
        <w:tc>
          <w:tcPr>
            <w:tcW w:w="1915" w:type="dxa"/>
          </w:tcPr>
          <w:p w14:paraId="7809111B"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$ 1247</w:t>
            </w:r>
          </w:p>
        </w:tc>
        <w:tc>
          <w:tcPr>
            <w:tcW w:w="1916" w:type="dxa"/>
          </w:tcPr>
          <w:p w14:paraId="0EE23FD5"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0.00</w:t>
            </w:r>
          </w:p>
        </w:tc>
      </w:tr>
      <w:tr w:rsidR="001B2A11" w:rsidRPr="00605205" w14:paraId="0352BFF8" w14:textId="77777777" w:rsidTr="00531918">
        <w:tc>
          <w:tcPr>
            <w:tcW w:w="1915" w:type="dxa"/>
          </w:tcPr>
          <w:p w14:paraId="54D4EB05"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Industry</w:t>
            </w:r>
          </w:p>
        </w:tc>
        <w:tc>
          <w:tcPr>
            <w:tcW w:w="1915" w:type="dxa"/>
          </w:tcPr>
          <w:p w14:paraId="074906E5"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179A3E22"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134E6802" w14:textId="77777777" w:rsidR="001B2A11" w:rsidRPr="00605205" w:rsidRDefault="001B2A11" w:rsidP="00531918">
            <w:pPr>
              <w:spacing w:line="480" w:lineRule="auto"/>
              <w:jc w:val="center"/>
              <w:rPr>
                <w:rFonts w:ascii="Times New Roman" w:hAnsi="Times New Roman" w:cs="Times New Roman"/>
                <w:sz w:val="24"/>
                <w:szCs w:val="24"/>
              </w:rPr>
            </w:pPr>
          </w:p>
        </w:tc>
        <w:tc>
          <w:tcPr>
            <w:tcW w:w="1916" w:type="dxa"/>
          </w:tcPr>
          <w:p w14:paraId="41F8DD68"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1.09</w:t>
            </w:r>
          </w:p>
        </w:tc>
      </w:tr>
    </w:tbl>
    <w:p w14:paraId="189B30C3" w14:textId="77777777" w:rsidR="001B2A11" w:rsidRPr="00605205" w:rsidRDefault="001B2A11" w:rsidP="001B2A11">
      <w:pPr>
        <w:rPr>
          <w:rFonts w:ascii="Times New Roman" w:hAnsi="Times New Roman" w:cs="Times New Roman"/>
          <w:sz w:val="24"/>
          <w:szCs w:val="24"/>
        </w:rPr>
      </w:pPr>
    </w:p>
    <w:p w14:paraId="14AA6E01" w14:textId="77777777" w:rsidR="001B2A11" w:rsidRPr="00605205" w:rsidRDefault="001B2A11" w:rsidP="001B2A11">
      <w:pPr>
        <w:rPr>
          <w:rFonts w:ascii="Times New Roman" w:hAnsi="Times New Roman" w:cs="Times New Roman"/>
          <w:sz w:val="24"/>
          <w:szCs w:val="24"/>
        </w:rPr>
      </w:pPr>
      <w:r w:rsidRPr="00605205">
        <w:rPr>
          <w:rFonts w:ascii="Times New Roman" w:hAnsi="Times New Roman" w:cs="Times New Roman"/>
          <w:sz w:val="24"/>
          <w:szCs w:val="24"/>
        </w:rPr>
        <w:t>GPS debt to equity ratio is 0.39 however AEO does not have any debt fund in its capital structure. The industry highest debt to equity ratio is 1.09.</w:t>
      </w:r>
    </w:p>
    <w:p w14:paraId="694AD994" w14:textId="77777777" w:rsidR="001B2A11" w:rsidRPr="00605205" w:rsidRDefault="001B2A11" w:rsidP="001B2A11">
      <w:pPr>
        <w:pStyle w:val="Default"/>
        <w:spacing w:line="480" w:lineRule="auto"/>
      </w:pPr>
    </w:p>
    <w:p w14:paraId="7789EBF6" w14:textId="77777777" w:rsidR="001B2A11" w:rsidRPr="00605205" w:rsidRDefault="001B2A11" w:rsidP="001B2A11">
      <w:pPr>
        <w:jc w:val="center"/>
        <w:rPr>
          <w:rFonts w:ascii="Times New Roman" w:hAnsi="Times New Roman" w:cs="Times New Roman"/>
          <w:sz w:val="24"/>
          <w:szCs w:val="24"/>
        </w:rPr>
      </w:pPr>
      <w:r w:rsidRPr="00605205">
        <w:rPr>
          <w:rFonts w:ascii="Times New Roman" w:hAnsi="Times New Roman" w:cs="Times New Roman"/>
          <w:sz w:val="24"/>
          <w:szCs w:val="24"/>
        </w:rPr>
        <w:t>Table 2.2: Operating vs Non-Operating Return</w:t>
      </w:r>
    </w:p>
    <w:tbl>
      <w:tblPr>
        <w:tblStyle w:val="TableGrid"/>
        <w:tblW w:w="0" w:type="auto"/>
        <w:tblLook w:val="04A0" w:firstRow="1" w:lastRow="0" w:firstColumn="1" w:lastColumn="0" w:noHBand="0" w:noVBand="1"/>
      </w:tblPr>
      <w:tblGrid>
        <w:gridCol w:w="2352"/>
        <w:gridCol w:w="2326"/>
        <w:gridCol w:w="2349"/>
        <w:gridCol w:w="2323"/>
      </w:tblGrid>
      <w:tr w:rsidR="001B2A11" w:rsidRPr="00605205" w14:paraId="1140B4BD" w14:textId="77777777" w:rsidTr="00531918">
        <w:tc>
          <w:tcPr>
            <w:tcW w:w="2394" w:type="dxa"/>
          </w:tcPr>
          <w:p w14:paraId="012E3D79" w14:textId="77777777" w:rsidR="001B2A11" w:rsidRPr="00605205" w:rsidRDefault="001B2A11" w:rsidP="00531918">
            <w:pPr>
              <w:spacing w:line="480" w:lineRule="auto"/>
              <w:jc w:val="center"/>
              <w:rPr>
                <w:rFonts w:ascii="Times New Roman" w:hAnsi="Times New Roman" w:cs="Times New Roman"/>
                <w:sz w:val="24"/>
                <w:szCs w:val="24"/>
              </w:rPr>
            </w:pPr>
          </w:p>
        </w:tc>
        <w:tc>
          <w:tcPr>
            <w:tcW w:w="2394" w:type="dxa"/>
          </w:tcPr>
          <w:p w14:paraId="65F8FD3B"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ROE</w:t>
            </w:r>
          </w:p>
        </w:tc>
        <w:tc>
          <w:tcPr>
            <w:tcW w:w="2394" w:type="dxa"/>
          </w:tcPr>
          <w:p w14:paraId="1C17BC12"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RNOA</w:t>
            </w:r>
          </w:p>
        </w:tc>
        <w:tc>
          <w:tcPr>
            <w:tcW w:w="2394" w:type="dxa"/>
          </w:tcPr>
          <w:p w14:paraId="5596B23D"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Non-Operating Return</w:t>
            </w:r>
          </w:p>
        </w:tc>
      </w:tr>
      <w:tr w:rsidR="001B2A11" w:rsidRPr="00605205" w14:paraId="03C654FF" w14:textId="77777777" w:rsidTr="00531918">
        <w:tc>
          <w:tcPr>
            <w:tcW w:w="2394" w:type="dxa"/>
          </w:tcPr>
          <w:p w14:paraId="7A6283AF"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GPS</w:t>
            </w:r>
          </w:p>
        </w:tc>
        <w:tc>
          <w:tcPr>
            <w:tcW w:w="2394" w:type="dxa"/>
          </w:tcPr>
          <w:p w14:paraId="3062C64A"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28.97</w:t>
            </w:r>
          </w:p>
        </w:tc>
        <w:tc>
          <w:tcPr>
            <w:tcW w:w="2394" w:type="dxa"/>
          </w:tcPr>
          <w:p w14:paraId="585DC625"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28.97</w:t>
            </w:r>
          </w:p>
        </w:tc>
        <w:tc>
          <w:tcPr>
            <w:tcW w:w="2394" w:type="dxa"/>
          </w:tcPr>
          <w:p w14:paraId="20875B4D"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w:t>
            </w:r>
          </w:p>
        </w:tc>
      </w:tr>
      <w:tr w:rsidR="001B2A11" w:rsidRPr="00605205" w14:paraId="62C8FACD" w14:textId="77777777" w:rsidTr="00531918">
        <w:tc>
          <w:tcPr>
            <w:tcW w:w="2394" w:type="dxa"/>
          </w:tcPr>
          <w:p w14:paraId="6AB75AB4"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AEO</w:t>
            </w:r>
          </w:p>
        </w:tc>
        <w:tc>
          <w:tcPr>
            <w:tcW w:w="2394" w:type="dxa"/>
          </w:tcPr>
          <w:p w14:paraId="171FA1B5" w14:textId="77777777" w:rsidR="001B2A11" w:rsidRPr="00605205" w:rsidRDefault="001B2A11" w:rsidP="00531918">
            <w:pPr>
              <w:spacing w:line="480" w:lineRule="auto"/>
              <w:jc w:val="center"/>
              <w:rPr>
                <w:rFonts w:ascii="Times New Roman" w:hAnsi="Times New Roman" w:cs="Times New Roman"/>
                <w:sz w:val="24"/>
                <w:szCs w:val="24"/>
              </w:rPr>
            </w:pPr>
            <w:commentRangeStart w:id="3"/>
            <w:r w:rsidRPr="00605205">
              <w:rPr>
                <w:rFonts w:ascii="Times New Roman" w:hAnsi="Times New Roman" w:cs="Times New Roman"/>
                <w:sz w:val="24"/>
                <w:szCs w:val="24"/>
              </w:rPr>
              <w:t>6.56</w:t>
            </w:r>
          </w:p>
        </w:tc>
        <w:tc>
          <w:tcPr>
            <w:tcW w:w="2394" w:type="dxa"/>
          </w:tcPr>
          <w:p w14:paraId="338B48F6"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6.56</w:t>
            </w:r>
            <w:commentRangeEnd w:id="3"/>
            <w:r w:rsidR="00DF4E13">
              <w:rPr>
                <w:rStyle w:val="CommentReference"/>
              </w:rPr>
              <w:commentReference w:id="3"/>
            </w:r>
          </w:p>
        </w:tc>
        <w:tc>
          <w:tcPr>
            <w:tcW w:w="2394" w:type="dxa"/>
          </w:tcPr>
          <w:p w14:paraId="017AE5A7" w14:textId="77777777" w:rsidR="001B2A11" w:rsidRPr="00605205" w:rsidRDefault="001B2A11" w:rsidP="00531918">
            <w:pPr>
              <w:spacing w:line="480" w:lineRule="auto"/>
              <w:jc w:val="center"/>
              <w:rPr>
                <w:rFonts w:ascii="Times New Roman" w:hAnsi="Times New Roman" w:cs="Times New Roman"/>
                <w:sz w:val="24"/>
                <w:szCs w:val="24"/>
              </w:rPr>
            </w:pPr>
            <w:commentRangeStart w:id="4"/>
            <w:r w:rsidRPr="00605205">
              <w:rPr>
                <w:rFonts w:ascii="Times New Roman" w:hAnsi="Times New Roman" w:cs="Times New Roman"/>
                <w:sz w:val="24"/>
                <w:szCs w:val="24"/>
              </w:rPr>
              <w:t>-</w:t>
            </w:r>
            <w:commentRangeEnd w:id="4"/>
            <w:r w:rsidR="00DF4E13">
              <w:rPr>
                <w:rStyle w:val="CommentReference"/>
              </w:rPr>
              <w:commentReference w:id="4"/>
            </w:r>
          </w:p>
        </w:tc>
      </w:tr>
      <w:tr w:rsidR="001B2A11" w:rsidRPr="00605205" w14:paraId="2A51208C" w14:textId="77777777" w:rsidTr="00531918">
        <w:tc>
          <w:tcPr>
            <w:tcW w:w="2394" w:type="dxa"/>
          </w:tcPr>
          <w:p w14:paraId="534A8116"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Industry</w:t>
            </w:r>
          </w:p>
        </w:tc>
        <w:tc>
          <w:tcPr>
            <w:tcW w:w="2394" w:type="dxa"/>
          </w:tcPr>
          <w:p w14:paraId="6C46FC89"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47.69</w:t>
            </w:r>
          </w:p>
        </w:tc>
        <w:tc>
          <w:tcPr>
            <w:tcW w:w="2394" w:type="dxa"/>
          </w:tcPr>
          <w:p w14:paraId="7A5301E9" w14:textId="77777777" w:rsidR="001B2A11" w:rsidRPr="00605205" w:rsidRDefault="001B2A11" w:rsidP="00531918">
            <w:pPr>
              <w:spacing w:line="480" w:lineRule="auto"/>
              <w:jc w:val="center"/>
              <w:rPr>
                <w:rFonts w:ascii="Times New Roman" w:hAnsi="Times New Roman" w:cs="Times New Roman"/>
                <w:sz w:val="24"/>
                <w:szCs w:val="24"/>
              </w:rPr>
            </w:pPr>
          </w:p>
        </w:tc>
        <w:tc>
          <w:tcPr>
            <w:tcW w:w="2394" w:type="dxa"/>
          </w:tcPr>
          <w:p w14:paraId="5D7D4872" w14:textId="77777777" w:rsidR="001B2A11" w:rsidRPr="00605205" w:rsidRDefault="001B2A11" w:rsidP="00531918">
            <w:pPr>
              <w:spacing w:line="480" w:lineRule="auto"/>
              <w:jc w:val="center"/>
              <w:rPr>
                <w:rFonts w:ascii="Times New Roman" w:hAnsi="Times New Roman" w:cs="Times New Roman"/>
                <w:sz w:val="24"/>
                <w:szCs w:val="24"/>
              </w:rPr>
            </w:pPr>
          </w:p>
        </w:tc>
      </w:tr>
    </w:tbl>
    <w:p w14:paraId="055A5A41" w14:textId="77777777" w:rsidR="001B2A11" w:rsidRPr="00605205" w:rsidRDefault="001B2A11" w:rsidP="001B2A11">
      <w:pPr>
        <w:jc w:val="center"/>
        <w:rPr>
          <w:rFonts w:ascii="Times New Roman" w:hAnsi="Times New Roman" w:cs="Times New Roman"/>
          <w:sz w:val="24"/>
          <w:szCs w:val="24"/>
        </w:rPr>
      </w:pPr>
    </w:p>
    <w:p w14:paraId="76451659" w14:textId="77777777" w:rsidR="001B2A11" w:rsidRPr="00605205" w:rsidRDefault="001B2A11" w:rsidP="001B2A11">
      <w:pPr>
        <w:pStyle w:val="Default"/>
        <w:spacing w:line="480" w:lineRule="auto"/>
      </w:pPr>
    </w:p>
    <w:p w14:paraId="53775103" w14:textId="77777777" w:rsidR="001B2A11" w:rsidRPr="00605205" w:rsidRDefault="001B2A11" w:rsidP="001B2A11">
      <w:pPr>
        <w:jc w:val="center"/>
        <w:rPr>
          <w:rFonts w:ascii="Times New Roman" w:hAnsi="Times New Roman" w:cs="Times New Roman"/>
          <w:sz w:val="24"/>
          <w:szCs w:val="24"/>
        </w:rPr>
      </w:pPr>
      <w:r w:rsidRPr="00605205">
        <w:rPr>
          <w:rFonts w:ascii="Times New Roman" w:hAnsi="Times New Roman" w:cs="Times New Roman"/>
          <w:sz w:val="24"/>
          <w:szCs w:val="24"/>
        </w:rPr>
        <w:t>Table 2.3: Debt to Assets Ratio</w:t>
      </w:r>
    </w:p>
    <w:tbl>
      <w:tblPr>
        <w:tblStyle w:val="TableGrid"/>
        <w:tblW w:w="0" w:type="auto"/>
        <w:tblLook w:val="04A0" w:firstRow="1" w:lastRow="0" w:firstColumn="1" w:lastColumn="0" w:noHBand="0" w:noVBand="1"/>
      </w:tblPr>
      <w:tblGrid>
        <w:gridCol w:w="1904"/>
        <w:gridCol w:w="1853"/>
        <w:gridCol w:w="1846"/>
        <w:gridCol w:w="1857"/>
        <w:gridCol w:w="1890"/>
      </w:tblGrid>
      <w:tr w:rsidR="001B2A11" w:rsidRPr="00605205" w14:paraId="33CDBC42" w14:textId="77777777" w:rsidTr="00531918">
        <w:tc>
          <w:tcPr>
            <w:tcW w:w="1915" w:type="dxa"/>
          </w:tcPr>
          <w:p w14:paraId="236BC386"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7838A093"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Total Assets</w:t>
            </w:r>
          </w:p>
        </w:tc>
        <w:tc>
          <w:tcPr>
            <w:tcW w:w="1915" w:type="dxa"/>
          </w:tcPr>
          <w:p w14:paraId="2F7530BF"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Debt to Assets</w:t>
            </w:r>
          </w:p>
        </w:tc>
        <w:tc>
          <w:tcPr>
            <w:tcW w:w="1915" w:type="dxa"/>
          </w:tcPr>
          <w:p w14:paraId="3DDBE747"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EBIT</w:t>
            </w:r>
          </w:p>
        </w:tc>
        <w:tc>
          <w:tcPr>
            <w:tcW w:w="1916" w:type="dxa"/>
          </w:tcPr>
          <w:p w14:paraId="38446B1B"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Interest Expense</w:t>
            </w:r>
          </w:p>
        </w:tc>
      </w:tr>
      <w:tr w:rsidR="001B2A11" w:rsidRPr="00605205" w14:paraId="07285B5D" w14:textId="77777777" w:rsidTr="00531918">
        <w:tc>
          <w:tcPr>
            <w:tcW w:w="1915" w:type="dxa"/>
          </w:tcPr>
          <w:p w14:paraId="76BBF475"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GPS</w:t>
            </w:r>
          </w:p>
        </w:tc>
        <w:tc>
          <w:tcPr>
            <w:tcW w:w="1915" w:type="dxa"/>
          </w:tcPr>
          <w:p w14:paraId="239E2D75"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$ 7989</w:t>
            </w:r>
          </w:p>
        </w:tc>
        <w:tc>
          <w:tcPr>
            <w:tcW w:w="1915" w:type="dxa"/>
          </w:tcPr>
          <w:p w14:paraId="0642AC36"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0.16</w:t>
            </w:r>
          </w:p>
        </w:tc>
        <w:tc>
          <w:tcPr>
            <w:tcW w:w="1915" w:type="dxa"/>
          </w:tcPr>
          <w:p w14:paraId="46D54AC4"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$ 1479</w:t>
            </w:r>
          </w:p>
        </w:tc>
        <w:tc>
          <w:tcPr>
            <w:tcW w:w="1916" w:type="dxa"/>
          </w:tcPr>
          <w:p w14:paraId="7FA20F0D"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$ 74</w:t>
            </w:r>
          </w:p>
        </w:tc>
      </w:tr>
      <w:tr w:rsidR="001B2A11" w:rsidRPr="00605205" w14:paraId="48153C6D" w14:textId="77777777" w:rsidTr="00531918">
        <w:tc>
          <w:tcPr>
            <w:tcW w:w="1915" w:type="dxa"/>
          </w:tcPr>
          <w:p w14:paraId="3245B928"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AEO</w:t>
            </w:r>
          </w:p>
        </w:tc>
        <w:tc>
          <w:tcPr>
            <w:tcW w:w="1915" w:type="dxa"/>
          </w:tcPr>
          <w:p w14:paraId="37DCFA1D"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$ 1816</w:t>
            </w:r>
          </w:p>
        </w:tc>
        <w:tc>
          <w:tcPr>
            <w:tcW w:w="1915" w:type="dxa"/>
          </w:tcPr>
          <w:p w14:paraId="3374086C"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0.00</w:t>
            </w:r>
          </w:p>
        </w:tc>
        <w:tc>
          <w:tcPr>
            <w:tcW w:w="1915" w:type="dxa"/>
          </w:tcPr>
          <w:p w14:paraId="0573E191"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$ 323</w:t>
            </w:r>
          </w:p>
        </w:tc>
        <w:tc>
          <w:tcPr>
            <w:tcW w:w="1916" w:type="dxa"/>
          </w:tcPr>
          <w:p w14:paraId="49A13258"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w:t>
            </w:r>
          </w:p>
        </w:tc>
      </w:tr>
      <w:tr w:rsidR="001B2A11" w:rsidRPr="00605205" w14:paraId="18DA993A" w14:textId="77777777" w:rsidTr="00531918">
        <w:tc>
          <w:tcPr>
            <w:tcW w:w="1915" w:type="dxa"/>
          </w:tcPr>
          <w:p w14:paraId="71BBEEFF"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Industry</w:t>
            </w:r>
          </w:p>
        </w:tc>
        <w:tc>
          <w:tcPr>
            <w:tcW w:w="1915" w:type="dxa"/>
          </w:tcPr>
          <w:p w14:paraId="51CC9ED4"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31F5FDF6"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0.18</w:t>
            </w:r>
          </w:p>
        </w:tc>
        <w:tc>
          <w:tcPr>
            <w:tcW w:w="1915" w:type="dxa"/>
          </w:tcPr>
          <w:p w14:paraId="451CA321" w14:textId="77777777" w:rsidR="001B2A11" w:rsidRPr="00605205" w:rsidRDefault="001B2A11" w:rsidP="00531918">
            <w:pPr>
              <w:spacing w:line="480" w:lineRule="auto"/>
              <w:jc w:val="center"/>
              <w:rPr>
                <w:rFonts w:ascii="Times New Roman" w:hAnsi="Times New Roman" w:cs="Times New Roman"/>
                <w:sz w:val="24"/>
                <w:szCs w:val="24"/>
              </w:rPr>
            </w:pPr>
          </w:p>
        </w:tc>
        <w:tc>
          <w:tcPr>
            <w:tcW w:w="1916" w:type="dxa"/>
          </w:tcPr>
          <w:p w14:paraId="76AAFDE1" w14:textId="77777777" w:rsidR="001B2A11" w:rsidRPr="00605205" w:rsidRDefault="001B2A11" w:rsidP="00531918">
            <w:pPr>
              <w:spacing w:line="480" w:lineRule="auto"/>
              <w:jc w:val="center"/>
              <w:rPr>
                <w:rFonts w:ascii="Times New Roman" w:hAnsi="Times New Roman" w:cs="Times New Roman"/>
                <w:sz w:val="24"/>
                <w:szCs w:val="24"/>
              </w:rPr>
            </w:pPr>
          </w:p>
        </w:tc>
      </w:tr>
    </w:tbl>
    <w:p w14:paraId="1534FC8C" w14:textId="77777777" w:rsidR="001B2A11" w:rsidRPr="00605205" w:rsidRDefault="001B2A11" w:rsidP="001B2A11">
      <w:pPr>
        <w:jc w:val="center"/>
        <w:rPr>
          <w:rFonts w:ascii="Times New Roman" w:hAnsi="Times New Roman" w:cs="Times New Roman"/>
          <w:sz w:val="24"/>
          <w:szCs w:val="24"/>
        </w:rPr>
      </w:pPr>
    </w:p>
    <w:p w14:paraId="2CC93C5C" w14:textId="77777777" w:rsidR="001B2A11" w:rsidRPr="00605205" w:rsidRDefault="001B2A11" w:rsidP="001B2A11">
      <w:pPr>
        <w:pStyle w:val="Default"/>
        <w:spacing w:line="480" w:lineRule="auto"/>
      </w:pPr>
    </w:p>
    <w:p w14:paraId="3F1D636C" w14:textId="77777777" w:rsidR="001B2A11" w:rsidRPr="00605205" w:rsidRDefault="001B2A11" w:rsidP="001B2A11">
      <w:pPr>
        <w:jc w:val="center"/>
        <w:rPr>
          <w:rFonts w:ascii="Times New Roman" w:hAnsi="Times New Roman" w:cs="Times New Roman"/>
          <w:sz w:val="24"/>
          <w:szCs w:val="24"/>
        </w:rPr>
      </w:pPr>
      <w:r w:rsidRPr="00605205">
        <w:rPr>
          <w:rFonts w:ascii="Times New Roman" w:hAnsi="Times New Roman" w:cs="Times New Roman"/>
          <w:sz w:val="24"/>
          <w:szCs w:val="24"/>
        </w:rPr>
        <w:t>Table 2.4: EBITDA Coverage Ratio</w:t>
      </w:r>
    </w:p>
    <w:tbl>
      <w:tblPr>
        <w:tblStyle w:val="TableGrid"/>
        <w:tblW w:w="0" w:type="auto"/>
        <w:tblLook w:val="04A0" w:firstRow="1" w:lastRow="0" w:firstColumn="1" w:lastColumn="0" w:noHBand="0" w:noVBand="1"/>
      </w:tblPr>
      <w:tblGrid>
        <w:gridCol w:w="1848"/>
        <w:gridCol w:w="2256"/>
        <w:gridCol w:w="1600"/>
        <w:gridCol w:w="1776"/>
        <w:gridCol w:w="1870"/>
      </w:tblGrid>
      <w:tr w:rsidR="001B2A11" w:rsidRPr="00605205" w14:paraId="7B19BD62" w14:textId="77777777" w:rsidTr="00531918">
        <w:tc>
          <w:tcPr>
            <w:tcW w:w="1915" w:type="dxa"/>
          </w:tcPr>
          <w:p w14:paraId="657C0371"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619D04C1"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Depreciation         +                    Amortization</w:t>
            </w:r>
          </w:p>
        </w:tc>
        <w:tc>
          <w:tcPr>
            <w:tcW w:w="1915" w:type="dxa"/>
          </w:tcPr>
          <w:p w14:paraId="5FCC3FDF"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EBIT</w:t>
            </w:r>
          </w:p>
        </w:tc>
        <w:tc>
          <w:tcPr>
            <w:tcW w:w="1915" w:type="dxa"/>
          </w:tcPr>
          <w:p w14:paraId="39BB2D19"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Interest Expense</w:t>
            </w:r>
          </w:p>
        </w:tc>
        <w:tc>
          <w:tcPr>
            <w:tcW w:w="1916" w:type="dxa"/>
          </w:tcPr>
          <w:p w14:paraId="5CBDDED0"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EBITDA Coverage Ratio</w:t>
            </w:r>
          </w:p>
        </w:tc>
      </w:tr>
      <w:tr w:rsidR="001B2A11" w:rsidRPr="00605205" w14:paraId="1DD428FC" w14:textId="77777777" w:rsidTr="00531918">
        <w:tc>
          <w:tcPr>
            <w:tcW w:w="1915" w:type="dxa"/>
          </w:tcPr>
          <w:p w14:paraId="2583410E"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GPS</w:t>
            </w:r>
          </w:p>
        </w:tc>
        <w:tc>
          <w:tcPr>
            <w:tcW w:w="1915" w:type="dxa"/>
          </w:tcPr>
          <w:p w14:paraId="376371A8"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$ 560</w:t>
            </w:r>
          </w:p>
        </w:tc>
        <w:tc>
          <w:tcPr>
            <w:tcW w:w="1915" w:type="dxa"/>
          </w:tcPr>
          <w:p w14:paraId="7D0BFD04"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$ 1479</w:t>
            </w:r>
          </w:p>
        </w:tc>
        <w:tc>
          <w:tcPr>
            <w:tcW w:w="1915" w:type="dxa"/>
          </w:tcPr>
          <w:p w14:paraId="4FF66B21"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$ 74</w:t>
            </w:r>
          </w:p>
        </w:tc>
        <w:tc>
          <w:tcPr>
            <w:tcW w:w="1916" w:type="dxa"/>
          </w:tcPr>
          <w:p w14:paraId="3B78A163"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42.87%</w:t>
            </w:r>
          </w:p>
        </w:tc>
      </w:tr>
      <w:tr w:rsidR="001B2A11" w:rsidRPr="00605205" w14:paraId="6A6F20E4" w14:textId="77777777" w:rsidTr="00531918">
        <w:tc>
          <w:tcPr>
            <w:tcW w:w="1915" w:type="dxa"/>
          </w:tcPr>
          <w:p w14:paraId="6F35131A"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AEO</w:t>
            </w:r>
          </w:p>
        </w:tc>
        <w:tc>
          <w:tcPr>
            <w:tcW w:w="1915" w:type="dxa"/>
          </w:tcPr>
          <w:p w14:paraId="622AB831"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$ 174</w:t>
            </w:r>
          </w:p>
        </w:tc>
        <w:tc>
          <w:tcPr>
            <w:tcW w:w="1915" w:type="dxa"/>
          </w:tcPr>
          <w:p w14:paraId="1BE9116F"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$ 323</w:t>
            </w:r>
          </w:p>
        </w:tc>
        <w:tc>
          <w:tcPr>
            <w:tcW w:w="1915" w:type="dxa"/>
          </w:tcPr>
          <w:p w14:paraId="574E9CCD"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w:t>
            </w:r>
          </w:p>
        </w:tc>
        <w:tc>
          <w:tcPr>
            <w:tcW w:w="1916" w:type="dxa"/>
          </w:tcPr>
          <w:p w14:paraId="7DE23744"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53.87%</w:t>
            </w:r>
          </w:p>
        </w:tc>
      </w:tr>
      <w:tr w:rsidR="001B2A11" w:rsidRPr="00605205" w14:paraId="5541C4F5" w14:textId="77777777" w:rsidTr="00531918">
        <w:tc>
          <w:tcPr>
            <w:tcW w:w="1915" w:type="dxa"/>
          </w:tcPr>
          <w:p w14:paraId="444DA7F7"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Industry</w:t>
            </w:r>
          </w:p>
        </w:tc>
        <w:tc>
          <w:tcPr>
            <w:tcW w:w="1915" w:type="dxa"/>
          </w:tcPr>
          <w:p w14:paraId="7231801A"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700C4952" w14:textId="77777777" w:rsidR="001B2A11" w:rsidRPr="00605205" w:rsidRDefault="001B2A11" w:rsidP="00531918">
            <w:pPr>
              <w:spacing w:line="480" w:lineRule="auto"/>
              <w:jc w:val="center"/>
              <w:rPr>
                <w:rFonts w:ascii="Times New Roman" w:hAnsi="Times New Roman" w:cs="Times New Roman"/>
                <w:sz w:val="24"/>
                <w:szCs w:val="24"/>
              </w:rPr>
            </w:pPr>
          </w:p>
        </w:tc>
        <w:tc>
          <w:tcPr>
            <w:tcW w:w="1915" w:type="dxa"/>
          </w:tcPr>
          <w:p w14:paraId="2265D3F0" w14:textId="77777777" w:rsidR="001B2A11" w:rsidRPr="00605205" w:rsidRDefault="001B2A11" w:rsidP="00531918">
            <w:pPr>
              <w:spacing w:line="480" w:lineRule="auto"/>
              <w:jc w:val="center"/>
              <w:rPr>
                <w:rFonts w:ascii="Times New Roman" w:hAnsi="Times New Roman" w:cs="Times New Roman"/>
                <w:sz w:val="24"/>
                <w:szCs w:val="24"/>
              </w:rPr>
            </w:pPr>
          </w:p>
        </w:tc>
        <w:tc>
          <w:tcPr>
            <w:tcW w:w="1916" w:type="dxa"/>
          </w:tcPr>
          <w:p w14:paraId="37806F7C" w14:textId="77777777" w:rsidR="001B2A11" w:rsidRPr="00605205" w:rsidRDefault="001B2A11" w:rsidP="00531918">
            <w:pPr>
              <w:spacing w:line="480" w:lineRule="auto"/>
              <w:jc w:val="center"/>
              <w:rPr>
                <w:rFonts w:ascii="Times New Roman" w:hAnsi="Times New Roman" w:cs="Times New Roman"/>
                <w:sz w:val="24"/>
                <w:szCs w:val="24"/>
              </w:rPr>
            </w:pPr>
          </w:p>
        </w:tc>
      </w:tr>
    </w:tbl>
    <w:p w14:paraId="572DCDD5" w14:textId="77777777" w:rsidR="001B2A11" w:rsidRPr="00605205" w:rsidRDefault="001B2A11" w:rsidP="001B2A11">
      <w:pPr>
        <w:jc w:val="center"/>
        <w:rPr>
          <w:rFonts w:ascii="Times New Roman" w:hAnsi="Times New Roman" w:cs="Times New Roman"/>
          <w:sz w:val="24"/>
          <w:szCs w:val="24"/>
        </w:rPr>
      </w:pPr>
    </w:p>
    <w:p w14:paraId="133E54A0" w14:textId="77777777" w:rsidR="001B2A11" w:rsidRPr="00605205" w:rsidRDefault="001B2A11" w:rsidP="001B2A11">
      <w:pPr>
        <w:pStyle w:val="Default"/>
        <w:spacing w:line="480" w:lineRule="auto"/>
      </w:pPr>
    </w:p>
    <w:p w14:paraId="59413559" w14:textId="77777777" w:rsidR="001B2A11" w:rsidRPr="00605205" w:rsidRDefault="001B2A11" w:rsidP="001B2A11">
      <w:pPr>
        <w:jc w:val="center"/>
        <w:rPr>
          <w:rFonts w:ascii="Times New Roman" w:hAnsi="Times New Roman" w:cs="Times New Roman"/>
          <w:sz w:val="24"/>
          <w:szCs w:val="24"/>
        </w:rPr>
      </w:pPr>
      <w:r w:rsidRPr="00605205">
        <w:rPr>
          <w:rFonts w:ascii="Times New Roman" w:hAnsi="Times New Roman" w:cs="Times New Roman"/>
          <w:sz w:val="24"/>
          <w:szCs w:val="24"/>
        </w:rPr>
        <w:t>Table 2.5: Liabilities to Equity Ratio</w:t>
      </w:r>
    </w:p>
    <w:tbl>
      <w:tblPr>
        <w:tblStyle w:val="TableGrid"/>
        <w:tblW w:w="0" w:type="auto"/>
        <w:tblLook w:val="04A0" w:firstRow="1" w:lastRow="0" w:firstColumn="1" w:lastColumn="0" w:noHBand="0" w:noVBand="1"/>
      </w:tblPr>
      <w:tblGrid>
        <w:gridCol w:w="2329"/>
        <w:gridCol w:w="2288"/>
        <w:gridCol w:w="2389"/>
        <w:gridCol w:w="2344"/>
      </w:tblGrid>
      <w:tr w:rsidR="001B2A11" w:rsidRPr="00605205" w14:paraId="53C909E5" w14:textId="77777777" w:rsidTr="00531918">
        <w:tc>
          <w:tcPr>
            <w:tcW w:w="2394" w:type="dxa"/>
          </w:tcPr>
          <w:p w14:paraId="35A86C27" w14:textId="77777777" w:rsidR="001B2A11" w:rsidRPr="00605205" w:rsidRDefault="001B2A11" w:rsidP="00531918">
            <w:pPr>
              <w:spacing w:line="480" w:lineRule="auto"/>
              <w:jc w:val="center"/>
              <w:rPr>
                <w:rFonts w:ascii="Times New Roman" w:hAnsi="Times New Roman" w:cs="Times New Roman"/>
                <w:sz w:val="24"/>
                <w:szCs w:val="24"/>
              </w:rPr>
            </w:pPr>
          </w:p>
        </w:tc>
        <w:tc>
          <w:tcPr>
            <w:tcW w:w="2394" w:type="dxa"/>
          </w:tcPr>
          <w:p w14:paraId="1949DF53"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Total Liabilities</w:t>
            </w:r>
          </w:p>
        </w:tc>
        <w:tc>
          <w:tcPr>
            <w:tcW w:w="2394" w:type="dxa"/>
          </w:tcPr>
          <w:p w14:paraId="42092DBF"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Stockholder’s Equity</w:t>
            </w:r>
          </w:p>
        </w:tc>
        <w:tc>
          <w:tcPr>
            <w:tcW w:w="2394" w:type="dxa"/>
          </w:tcPr>
          <w:p w14:paraId="752CD3DF"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Liabilities to Equity Ratio</w:t>
            </w:r>
          </w:p>
        </w:tc>
      </w:tr>
      <w:tr w:rsidR="001B2A11" w:rsidRPr="00605205" w14:paraId="0BED3350" w14:textId="77777777" w:rsidTr="00531918">
        <w:tc>
          <w:tcPr>
            <w:tcW w:w="2394" w:type="dxa"/>
          </w:tcPr>
          <w:p w14:paraId="628D8801"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GPS</w:t>
            </w:r>
          </w:p>
        </w:tc>
        <w:tc>
          <w:tcPr>
            <w:tcW w:w="2394" w:type="dxa"/>
          </w:tcPr>
          <w:p w14:paraId="6AA78B31"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$ 4845</w:t>
            </w:r>
          </w:p>
        </w:tc>
        <w:tc>
          <w:tcPr>
            <w:tcW w:w="2394" w:type="dxa"/>
          </w:tcPr>
          <w:p w14:paraId="3893C82B"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$ 3144</w:t>
            </w:r>
          </w:p>
        </w:tc>
        <w:tc>
          <w:tcPr>
            <w:tcW w:w="2394" w:type="dxa"/>
          </w:tcPr>
          <w:p w14:paraId="1872ECA5"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1.54</w:t>
            </w:r>
          </w:p>
        </w:tc>
      </w:tr>
      <w:tr w:rsidR="001B2A11" w:rsidRPr="00605205" w14:paraId="38CA60B7" w14:textId="77777777" w:rsidTr="00531918">
        <w:tc>
          <w:tcPr>
            <w:tcW w:w="2394" w:type="dxa"/>
          </w:tcPr>
          <w:p w14:paraId="25D62E79"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AEO</w:t>
            </w:r>
          </w:p>
        </w:tc>
        <w:tc>
          <w:tcPr>
            <w:tcW w:w="2394" w:type="dxa"/>
          </w:tcPr>
          <w:p w14:paraId="24C1AA74"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$ 570</w:t>
            </w:r>
          </w:p>
        </w:tc>
        <w:tc>
          <w:tcPr>
            <w:tcW w:w="2394" w:type="dxa"/>
          </w:tcPr>
          <w:p w14:paraId="34B4FD75"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$ 1247</w:t>
            </w:r>
          </w:p>
        </w:tc>
        <w:tc>
          <w:tcPr>
            <w:tcW w:w="2394" w:type="dxa"/>
          </w:tcPr>
          <w:p w14:paraId="1E6C38C3" w14:textId="77777777" w:rsidR="001B2A11" w:rsidRPr="00605205" w:rsidRDefault="001B2A11" w:rsidP="00531918">
            <w:pPr>
              <w:spacing w:line="480" w:lineRule="auto"/>
              <w:jc w:val="center"/>
              <w:rPr>
                <w:rFonts w:ascii="Times New Roman" w:hAnsi="Times New Roman" w:cs="Times New Roman"/>
                <w:sz w:val="24"/>
                <w:szCs w:val="24"/>
              </w:rPr>
            </w:pPr>
            <w:r w:rsidRPr="00605205">
              <w:rPr>
                <w:rFonts w:ascii="Times New Roman" w:hAnsi="Times New Roman" w:cs="Times New Roman"/>
                <w:sz w:val="24"/>
                <w:szCs w:val="24"/>
              </w:rPr>
              <w:t>0.46</w:t>
            </w:r>
          </w:p>
        </w:tc>
      </w:tr>
      <w:tr w:rsidR="001B2A11" w:rsidRPr="00605205" w14:paraId="2A3BBDAF" w14:textId="77777777" w:rsidTr="00531918">
        <w:tc>
          <w:tcPr>
            <w:tcW w:w="2394" w:type="dxa"/>
          </w:tcPr>
          <w:p w14:paraId="46ED1815" w14:textId="77777777" w:rsidR="001B2A11" w:rsidRPr="00605205" w:rsidRDefault="001B2A11" w:rsidP="00531918">
            <w:pPr>
              <w:spacing w:line="480" w:lineRule="auto"/>
              <w:jc w:val="center"/>
              <w:rPr>
                <w:rFonts w:ascii="Times New Roman" w:hAnsi="Times New Roman" w:cs="Times New Roman"/>
                <w:b/>
                <w:bCs/>
                <w:sz w:val="24"/>
                <w:szCs w:val="24"/>
              </w:rPr>
            </w:pPr>
            <w:r w:rsidRPr="00605205">
              <w:rPr>
                <w:rFonts w:ascii="Times New Roman" w:hAnsi="Times New Roman" w:cs="Times New Roman"/>
                <w:b/>
                <w:bCs/>
                <w:sz w:val="24"/>
                <w:szCs w:val="24"/>
              </w:rPr>
              <w:t>Industry</w:t>
            </w:r>
          </w:p>
        </w:tc>
        <w:tc>
          <w:tcPr>
            <w:tcW w:w="2394" w:type="dxa"/>
          </w:tcPr>
          <w:p w14:paraId="10C1C209" w14:textId="77777777" w:rsidR="001B2A11" w:rsidRPr="00605205" w:rsidRDefault="001B2A11" w:rsidP="00531918">
            <w:pPr>
              <w:spacing w:line="480" w:lineRule="auto"/>
              <w:jc w:val="center"/>
              <w:rPr>
                <w:rFonts w:ascii="Times New Roman" w:hAnsi="Times New Roman" w:cs="Times New Roman"/>
                <w:sz w:val="24"/>
                <w:szCs w:val="24"/>
              </w:rPr>
            </w:pPr>
          </w:p>
        </w:tc>
        <w:tc>
          <w:tcPr>
            <w:tcW w:w="2394" w:type="dxa"/>
          </w:tcPr>
          <w:p w14:paraId="743D9607" w14:textId="77777777" w:rsidR="001B2A11" w:rsidRPr="00605205" w:rsidRDefault="001B2A11" w:rsidP="00531918">
            <w:pPr>
              <w:spacing w:line="480" w:lineRule="auto"/>
              <w:jc w:val="center"/>
              <w:rPr>
                <w:rFonts w:ascii="Times New Roman" w:hAnsi="Times New Roman" w:cs="Times New Roman"/>
                <w:sz w:val="24"/>
                <w:szCs w:val="24"/>
              </w:rPr>
            </w:pPr>
          </w:p>
        </w:tc>
        <w:tc>
          <w:tcPr>
            <w:tcW w:w="2394" w:type="dxa"/>
          </w:tcPr>
          <w:p w14:paraId="79B184AC" w14:textId="77777777" w:rsidR="001B2A11" w:rsidRPr="00605205" w:rsidRDefault="001B2A11" w:rsidP="00531918">
            <w:pPr>
              <w:spacing w:line="480" w:lineRule="auto"/>
              <w:jc w:val="center"/>
              <w:rPr>
                <w:rFonts w:ascii="Times New Roman" w:hAnsi="Times New Roman" w:cs="Times New Roman"/>
                <w:sz w:val="24"/>
                <w:szCs w:val="24"/>
              </w:rPr>
            </w:pPr>
          </w:p>
        </w:tc>
      </w:tr>
    </w:tbl>
    <w:p w14:paraId="50E8BE83" w14:textId="77777777" w:rsidR="001B2A11" w:rsidRPr="00605205" w:rsidRDefault="001B2A11" w:rsidP="00472FFB">
      <w:pPr>
        <w:rPr>
          <w:rFonts w:ascii="Times New Roman" w:hAnsi="Times New Roman" w:cs="Times New Roman"/>
          <w:sz w:val="24"/>
          <w:szCs w:val="24"/>
        </w:rPr>
      </w:pPr>
    </w:p>
    <w:p w14:paraId="0BE17C90" w14:textId="77777777" w:rsidR="00472FFB" w:rsidRPr="00605205" w:rsidRDefault="00472FFB" w:rsidP="00472FFB">
      <w:pPr>
        <w:rPr>
          <w:rFonts w:ascii="Times New Roman" w:hAnsi="Times New Roman" w:cs="Times New Roman"/>
          <w:b/>
          <w:sz w:val="24"/>
          <w:szCs w:val="24"/>
        </w:rPr>
      </w:pPr>
      <w:commentRangeStart w:id="5"/>
      <w:r w:rsidRPr="00605205">
        <w:rPr>
          <w:rFonts w:ascii="Times New Roman" w:hAnsi="Times New Roman" w:cs="Times New Roman"/>
          <w:b/>
          <w:sz w:val="24"/>
          <w:szCs w:val="24"/>
        </w:rPr>
        <w:lastRenderedPageBreak/>
        <w:t>Asset Utilization</w:t>
      </w:r>
      <w:commentRangeEnd w:id="5"/>
      <w:r w:rsidR="00DF4E13">
        <w:rPr>
          <w:rStyle w:val="CommentReference"/>
        </w:rPr>
        <w:commentReference w:id="5"/>
      </w:r>
    </w:p>
    <w:p w14:paraId="64745309" w14:textId="77777777" w:rsidR="00472FFB" w:rsidRPr="00605205" w:rsidRDefault="00472FFB" w:rsidP="00472FFB">
      <w:pPr>
        <w:rPr>
          <w:rFonts w:ascii="Times New Roman" w:hAnsi="Times New Roman" w:cs="Times New Roman"/>
          <w:sz w:val="24"/>
          <w:szCs w:val="24"/>
        </w:rPr>
      </w:pPr>
      <w:r w:rsidRPr="00605205">
        <w:rPr>
          <w:rFonts w:ascii="Times New Roman" w:hAnsi="Times New Roman" w:cs="Times New Roman"/>
          <w:sz w:val="24"/>
          <w:szCs w:val="24"/>
        </w:rPr>
        <w:t xml:space="preserve">Asset utilization measures how well a company is utilizing assets to return revenues.  Average Net Operating Assets are calculated by adding the operating liabilities plus stockholder equity over a two year period to get an average net operating assets.  Net Operating Asset Turnover (NOAT) is calculated by dividing net sales by average NOA.  The higher the NOAT the more efficient use of assets the firm has.  Both The Gap Inc. and American </w:t>
      </w:r>
      <w:proofErr w:type="gramStart"/>
      <w:r w:rsidRPr="00605205">
        <w:rPr>
          <w:rFonts w:ascii="Times New Roman" w:hAnsi="Times New Roman" w:cs="Times New Roman"/>
          <w:sz w:val="24"/>
          <w:szCs w:val="24"/>
        </w:rPr>
        <w:t>Eagle</w:t>
      </w:r>
      <w:proofErr w:type="gramEnd"/>
      <w:r w:rsidRPr="00605205">
        <w:rPr>
          <w:rFonts w:ascii="Times New Roman" w:hAnsi="Times New Roman" w:cs="Times New Roman"/>
          <w:sz w:val="24"/>
          <w:szCs w:val="24"/>
        </w:rPr>
        <w:t xml:space="preserve"> have a NOAT above 4 with The Gap Inc. having a slightly higher NOAT.  This means that The Gap Inc. is more efficient with the use of assets.  For each dollar of net operating assets The Gap Inc. realized $4.41 in sales.</w:t>
      </w:r>
    </w:p>
    <w:p w14:paraId="5DA27F59" w14:textId="77777777" w:rsidR="00472FFB" w:rsidRPr="00605205" w:rsidRDefault="00472FFB" w:rsidP="00472FFB">
      <w:pPr>
        <w:rPr>
          <w:rFonts w:ascii="Times New Roman" w:hAnsi="Times New Roman" w:cs="Times New Roman"/>
          <w:sz w:val="24"/>
          <w:szCs w:val="24"/>
        </w:rPr>
      </w:pPr>
    </w:p>
    <w:tbl>
      <w:tblPr>
        <w:tblW w:w="8995" w:type="dxa"/>
        <w:tblLook w:val="04A0" w:firstRow="1" w:lastRow="0" w:firstColumn="1" w:lastColumn="0" w:noHBand="0" w:noVBand="1"/>
      </w:tblPr>
      <w:tblGrid>
        <w:gridCol w:w="1470"/>
        <w:gridCol w:w="2263"/>
        <w:gridCol w:w="2700"/>
        <w:gridCol w:w="2700"/>
      </w:tblGrid>
      <w:tr w:rsidR="00472FFB" w:rsidRPr="00605205" w14:paraId="3065D56E" w14:textId="77777777" w:rsidTr="001B2A11">
        <w:trPr>
          <w:trHeight w:val="288"/>
        </w:trPr>
        <w:tc>
          <w:tcPr>
            <w:tcW w:w="1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FC5592"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w:t>
            </w:r>
          </w:p>
        </w:tc>
        <w:tc>
          <w:tcPr>
            <w:tcW w:w="2263" w:type="dxa"/>
            <w:tcBorders>
              <w:top w:val="single" w:sz="4" w:space="0" w:color="auto"/>
              <w:left w:val="nil"/>
              <w:bottom w:val="single" w:sz="4" w:space="0" w:color="auto"/>
              <w:right w:val="single" w:sz="4" w:space="0" w:color="auto"/>
            </w:tcBorders>
            <w:shd w:val="clear" w:color="auto" w:fill="auto"/>
            <w:noWrap/>
            <w:vAlign w:val="bottom"/>
            <w:hideMark/>
          </w:tcPr>
          <w:p w14:paraId="146B8C85"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Sales</w:t>
            </w:r>
          </w:p>
        </w:tc>
        <w:tc>
          <w:tcPr>
            <w:tcW w:w="2700" w:type="dxa"/>
            <w:tcBorders>
              <w:top w:val="single" w:sz="4" w:space="0" w:color="auto"/>
              <w:left w:val="nil"/>
              <w:bottom w:val="single" w:sz="4" w:space="0" w:color="auto"/>
              <w:right w:val="single" w:sz="4" w:space="0" w:color="auto"/>
            </w:tcBorders>
            <w:shd w:val="clear" w:color="auto" w:fill="auto"/>
            <w:noWrap/>
            <w:vAlign w:val="bottom"/>
            <w:hideMark/>
          </w:tcPr>
          <w:p w14:paraId="7CFA92EB"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Average NOA*</w:t>
            </w:r>
          </w:p>
        </w:tc>
        <w:tc>
          <w:tcPr>
            <w:tcW w:w="2700" w:type="dxa"/>
            <w:tcBorders>
              <w:top w:val="single" w:sz="4" w:space="0" w:color="auto"/>
              <w:left w:val="nil"/>
              <w:bottom w:val="single" w:sz="4" w:space="0" w:color="auto"/>
              <w:right w:val="single" w:sz="4" w:space="0" w:color="auto"/>
            </w:tcBorders>
            <w:shd w:val="clear" w:color="auto" w:fill="auto"/>
            <w:noWrap/>
            <w:vAlign w:val="bottom"/>
            <w:hideMark/>
          </w:tcPr>
          <w:p w14:paraId="33E341F3"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Net Operating Asset Turnover</w:t>
            </w:r>
          </w:p>
        </w:tc>
      </w:tr>
      <w:tr w:rsidR="00472FFB" w:rsidRPr="00605205" w14:paraId="7F12A05F" w14:textId="77777777" w:rsidTr="001B2A11">
        <w:trPr>
          <w:trHeight w:val="288"/>
        </w:trPr>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4DB9A1BF"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 xml:space="preserve">The Gap </w:t>
            </w:r>
            <w:proofErr w:type="spellStart"/>
            <w:r w:rsidRPr="00605205">
              <w:rPr>
                <w:rFonts w:ascii="Times New Roman" w:eastAsia="Times New Roman" w:hAnsi="Times New Roman" w:cs="Times New Roman"/>
                <w:b/>
                <w:color w:val="000000"/>
                <w:sz w:val="24"/>
                <w:szCs w:val="24"/>
              </w:rPr>
              <w:t>Inc</w:t>
            </w:r>
            <w:proofErr w:type="spellEnd"/>
          </w:p>
        </w:tc>
        <w:tc>
          <w:tcPr>
            <w:tcW w:w="2263" w:type="dxa"/>
            <w:tcBorders>
              <w:top w:val="nil"/>
              <w:left w:val="nil"/>
              <w:bottom w:val="single" w:sz="4" w:space="0" w:color="auto"/>
              <w:right w:val="single" w:sz="4" w:space="0" w:color="auto"/>
            </w:tcBorders>
            <w:shd w:val="clear" w:color="auto" w:fill="auto"/>
            <w:noWrap/>
            <w:vAlign w:val="bottom"/>
            <w:hideMark/>
          </w:tcPr>
          <w:p w14:paraId="657EEC7C"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15,855 </w:t>
            </w:r>
          </w:p>
        </w:tc>
        <w:tc>
          <w:tcPr>
            <w:tcW w:w="2700" w:type="dxa"/>
            <w:tcBorders>
              <w:top w:val="nil"/>
              <w:left w:val="nil"/>
              <w:bottom w:val="single" w:sz="4" w:space="0" w:color="auto"/>
              <w:right w:val="single" w:sz="4" w:space="0" w:color="auto"/>
            </w:tcBorders>
            <w:shd w:val="clear" w:color="auto" w:fill="auto"/>
            <w:noWrap/>
            <w:vAlign w:val="bottom"/>
            <w:hideMark/>
          </w:tcPr>
          <w:p w14:paraId="5143318E"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3,592 </w:t>
            </w:r>
          </w:p>
        </w:tc>
        <w:tc>
          <w:tcPr>
            <w:tcW w:w="2700" w:type="dxa"/>
            <w:tcBorders>
              <w:top w:val="nil"/>
              <w:left w:val="nil"/>
              <w:bottom w:val="single" w:sz="4" w:space="0" w:color="auto"/>
              <w:right w:val="single" w:sz="4" w:space="0" w:color="auto"/>
            </w:tcBorders>
            <w:shd w:val="clear" w:color="auto" w:fill="auto"/>
            <w:noWrap/>
            <w:vAlign w:val="bottom"/>
            <w:hideMark/>
          </w:tcPr>
          <w:p w14:paraId="19D0ECA1"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4.41</w:t>
            </w:r>
          </w:p>
        </w:tc>
      </w:tr>
      <w:tr w:rsidR="00472FFB" w:rsidRPr="00605205" w14:paraId="26EE2D63" w14:textId="77777777" w:rsidTr="001B2A11">
        <w:trPr>
          <w:trHeight w:val="288"/>
        </w:trPr>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089F4C15"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A&amp;E</w:t>
            </w:r>
          </w:p>
        </w:tc>
        <w:tc>
          <w:tcPr>
            <w:tcW w:w="2263" w:type="dxa"/>
            <w:tcBorders>
              <w:top w:val="nil"/>
              <w:left w:val="nil"/>
              <w:bottom w:val="single" w:sz="4" w:space="0" w:color="auto"/>
              <w:right w:val="single" w:sz="4" w:space="0" w:color="auto"/>
            </w:tcBorders>
            <w:shd w:val="clear" w:color="auto" w:fill="auto"/>
            <w:noWrap/>
            <w:vAlign w:val="bottom"/>
            <w:hideMark/>
          </w:tcPr>
          <w:p w14:paraId="623686F0"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3,796 </w:t>
            </w:r>
          </w:p>
        </w:tc>
        <w:tc>
          <w:tcPr>
            <w:tcW w:w="2700" w:type="dxa"/>
            <w:tcBorders>
              <w:top w:val="nil"/>
              <w:left w:val="nil"/>
              <w:bottom w:val="single" w:sz="4" w:space="0" w:color="auto"/>
              <w:right w:val="single" w:sz="4" w:space="0" w:color="auto"/>
            </w:tcBorders>
            <w:shd w:val="clear" w:color="auto" w:fill="auto"/>
            <w:noWrap/>
            <w:vAlign w:val="bottom"/>
            <w:hideMark/>
          </w:tcPr>
          <w:p w14:paraId="60E37FB3"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924 </w:t>
            </w:r>
          </w:p>
        </w:tc>
        <w:tc>
          <w:tcPr>
            <w:tcW w:w="2700" w:type="dxa"/>
            <w:tcBorders>
              <w:top w:val="nil"/>
              <w:left w:val="nil"/>
              <w:bottom w:val="single" w:sz="4" w:space="0" w:color="auto"/>
              <w:right w:val="single" w:sz="4" w:space="0" w:color="auto"/>
            </w:tcBorders>
            <w:shd w:val="clear" w:color="auto" w:fill="auto"/>
            <w:noWrap/>
            <w:vAlign w:val="bottom"/>
            <w:hideMark/>
          </w:tcPr>
          <w:p w14:paraId="12A6E00E"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4.11</w:t>
            </w:r>
          </w:p>
        </w:tc>
      </w:tr>
      <w:tr w:rsidR="00472FFB" w:rsidRPr="00605205" w14:paraId="5F9DE151" w14:textId="77777777" w:rsidTr="001B2A11">
        <w:trPr>
          <w:trHeight w:val="288"/>
        </w:trPr>
        <w:tc>
          <w:tcPr>
            <w:tcW w:w="3595" w:type="dxa"/>
            <w:gridSpan w:val="2"/>
            <w:tcBorders>
              <w:top w:val="nil"/>
              <w:left w:val="nil"/>
              <w:bottom w:val="nil"/>
              <w:right w:val="nil"/>
            </w:tcBorders>
            <w:shd w:val="clear" w:color="auto" w:fill="auto"/>
            <w:noWrap/>
            <w:vAlign w:val="bottom"/>
            <w:hideMark/>
          </w:tcPr>
          <w:p w14:paraId="1A500090"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See Table xx</w:t>
            </w:r>
          </w:p>
        </w:tc>
        <w:tc>
          <w:tcPr>
            <w:tcW w:w="2700" w:type="dxa"/>
            <w:tcBorders>
              <w:top w:val="nil"/>
              <w:left w:val="nil"/>
              <w:bottom w:val="nil"/>
              <w:right w:val="nil"/>
            </w:tcBorders>
            <w:shd w:val="clear" w:color="auto" w:fill="auto"/>
            <w:noWrap/>
            <w:vAlign w:val="bottom"/>
            <w:hideMark/>
          </w:tcPr>
          <w:p w14:paraId="0A3266BD" w14:textId="77777777" w:rsidR="00472FFB" w:rsidRPr="00605205" w:rsidRDefault="00472FFB" w:rsidP="00531918">
            <w:pPr>
              <w:spacing w:line="240" w:lineRule="auto"/>
              <w:rPr>
                <w:rFonts w:ascii="Times New Roman" w:eastAsia="Times New Roman" w:hAnsi="Times New Roman" w:cs="Times New Roman"/>
                <w:color w:val="000000"/>
                <w:sz w:val="24"/>
                <w:szCs w:val="24"/>
              </w:rPr>
            </w:pPr>
          </w:p>
        </w:tc>
        <w:tc>
          <w:tcPr>
            <w:tcW w:w="2700" w:type="dxa"/>
            <w:tcBorders>
              <w:top w:val="nil"/>
              <w:left w:val="nil"/>
              <w:bottom w:val="nil"/>
              <w:right w:val="nil"/>
            </w:tcBorders>
            <w:shd w:val="clear" w:color="auto" w:fill="auto"/>
            <w:noWrap/>
            <w:vAlign w:val="bottom"/>
            <w:hideMark/>
          </w:tcPr>
          <w:p w14:paraId="4A9C0CA5" w14:textId="77777777" w:rsidR="00472FFB" w:rsidRPr="00605205" w:rsidRDefault="00472FFB" w:rsidP="00531918">
            <w:pPr>
              <w:spacing w:line="240" w:lineRule="auto"/>
              <w:rPr>
                <w:rFonts w:ascii="Times New Roman" w:eastAsia="Times New Roman" w:hAnsi="Times New Roman" w:cs="Times New Roman"/>
                <w:sz w:val="24"/>
                <w:szCs w:val="24"/>
              </w:rPr>
            </w:pPr>
          </w:p>
        </w:tc>
      </w:tr>
    </w:tbl>
    <w:p w14:paraId="46D9D64A" w14:textId="77777777" w:rsidR="00472FFB" w:rsidRPr="00605205" w:rsidRDefault="00472FFB" w:rsidP="00472FFB">
      <w:pPr>
        <w:rPr>
          <w:rFonts w:ascii="Times New Roman" w:hAnsi="Times New Roman" w:cs="Times New Roman"/>
          <w:sz w:val="24"/>
          <w:szCs w:val="24"/>
        </w:rPr>
      </w:pPr>
    </w:p>
    <w:p w14:paraId="2DFEA402" w14:textId="77777777" w:rsidR="00472FFB" w:rsidRPr="00605205" w:rsidRDefault="00472FFB" w:rsidP="00472FFB">
      <w:pPr>
        <w:rPr>
          <w:rFonts w:ascii="Times New Roman" w:hAnsi="Times New Roman" w:cs="Times New Roman"/>
          <w:b/>
          <w:sz w:val="24"/>
          <w:szCs w:val="24"/>
        </w:rPr>
      </w:pPr>
      <w:r w:rsidRPr="00605205">
        <w:rPr>
          <w:rFonts w:ascii="Times New Roman" w:hAnsi="Times New Roman" w:cs="Times New Roman"/>
          <w:b/>
          <w:sz w:val="24"/>
          <w:szCs w:val="24"/>
        </w:rPr>
        <w:t>Profit Margin</w:t>
      </w:r>
    </w:p>
    <w:p w14:paraId="1CE6B360" w14:textId="77777777" w:rsidR="00472FFB" w:rsidRPr="00605205" w:rsidRDefault="00472FFB" w:rsidP="00472FFB">
      <w:pPr>
        <w:rPr>
          <w:rFonts w:ascii="Times New Roman" w:hAnsi="Times New Roman" w:cs="Times New Roman"/>
          <w:sz w:val="24"/>
          <w:szCs w:val="24"/>
        </w:rPr>
      </w:pPr>
      <w:r w:rsidRPr="00605205">
        <w:rPr>
          <w:rFonts w:ascii="Times New Roman" w:hAnsi="Times New Roman" w:cs="Times New Roman"/>
          <w:sz w:val="24"/>
          <w:szCs w:val="24"/>
        </w:rPr>
        <w:t xml:space="preserve">Net Operating Profit Margin can be determined by dividing NOPAT by sales.  The higher the profit margin, the more profitable the firm is. Return on Net Operating Assets is calculated by dividing NOPTA by average NOA.  American </w:t>
      </w:r>
      <w:proofErr w:type="gramStart"/>
      <w:r w:rsidRPr="00605205">
        <w:rPr>
          <w:rFonts w:ascii="Times New Roman" w:hAnsi="Times New Roman" w:cs="Times New Roman"/>
          <w:sz w:val="24"/>
          <w:szCs w:val="24"/>
        </w:rPr>
        <w:t>Eagle</w:t>
      </w:r>
      <w:proofErr w:type="gramEnd"/>
      <w:r w:rsidRPr="00605205">
        <w:rPr>
          <w:rFonts w:ascii="Times New Roman" w:hAnsi="Times New Roman" w:cs="Times New Roman"/>
          <w:sz w:val="24"/>
          <w:szCs w:val="24"/>
        </w:rPr>
        <w:t xml:space="preserve"> has a significantly lower RNOA due to lower NOPAT.</w:t>
      </w:r>
    </w:p>
    <w:p w14:paraId="597C2AC3" w14:textId="77777777" w:rsidR="00472FFB" w:rsidRPr="00605205" w:rsidRDefault="00472FFB" w:rsidP="00472FFB">
      <w:pPr>
        <w:rPr>
          <w:rFonts w:ascii="Times New Roman" w:hAnsi="Times New Roman" w:cs="Times New Roman"/>
          <w:sz w:val="24"/>
          <w:szCs w:val="24"/>
        </w:rPr>
      </w:pPr>
    </w:p>
    <w:tbl>
      <w:tblPr>
        <w:tblW w:w="7037" w:type="dxa"/>
        <w:tblLook w:val="04A0" w:firstRow="1" w:lastRow="0" w:firstColumn="1" w:lastColumn="0" w:noHBand="0" w:noVBand="1"/>
      </w:tblPr>
      <w:tblGrid>
        <w:gridCol w:w="1470"/>
        <w:gridCol w:w="2533"/>
        <w:gridCol w:w="2520"/>
        <w:gridCol w:w="1676"/>
      </w:tblGrid>
      <w:tr w:rsidR="00472FFB" w:rsidRPr="00605205" w14:paraId="4780E173" w14:textId="77777777" w:rsidTr="001B2A11">
        <w:trPr>
          <w:trHeight w:val="377"/>
        </w:trPr>
        <w:tc>
          <w:tcPr>
            <w:tcW w:w="13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816039"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w:t>
            </w:r>
          </w:p>
        </w:tc>
        <w:tc>
          <w:tcPr>
            <w:tcW w:w="2533" w:type="dxa"/>
            <w:tcBorders>
              <w:top w:val="single" w:sz="4" w:space="0" w:color="auto"/>
              <w:left w:val="nil"/>
              <w:bottom w:val="single" w:sz="4" w:space="0" w:color="auto"/>
              <w:right w:val="single" w:sz="4" w:space="0" w:color="auto"/>
            </w:tcBorders>
            <w:shd w:val="clear" w:color="auto" w:fill="auto"/>
            <w:noWrap/>
            <w:vAlign w:val="bottom"/>
            <w:hideMark/>
          </w:tcPr>
          <w:p w14:paraId="7D5514F7"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NOPAT</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441232A7"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Net Op Profit Margin</w:t>
            </w:r>
          </w:p>
        </w:tc>
        <w:tc>
          <w:tcPr>
            <w:tcW w:w="652" w:type="dxa"/>
            <w:tcBorders>
              <w:top w:val="single" w:sz="4" w:space="0" w:color="auto"/>
              <w:left w:val="nil"/>
              <w:bottom w:val="single" w:sz="4" w:space="0" w:color="auto"/>
              <w:right w:val="single" w:sz="4" w:space="0" w:color="auto"/>
            </w:tcBorders>
            <w:shd w:val="clear" w:color="auto" w:fill="auto"/>
            <w:noWrap/>
            <w:vAlign w:val="bottom"/>
            <w:hideMark/>
          </w:tcPr>
          <w:p w14:paraId="092E124E"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RNOA</w:t>
            </w:r>
          </w:p>
        </w:tc>
      </w:tr>
      <w:tr w:rsidR="00472FFB" w:rsidRPr="00605205" w14:paraId="07D3BF02" w14:textId="77777777" w:rsidTr="001B2A11">
        <w:trPr>
          <w:trHeight w:val="288"/>
        </w:trPr>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3655CB93"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t xml:space="preserve">The Gap </w:t>
            </w:r>
            <w:proofErr w:type="spellStart"/>
            <w:r w:rsidRPr="00605205">
              <w:rPr>
                <w:rFonts w:ascii="Times New Roman" w:eastAsia="Times New Roman" w:hAnsi="Times New Roman" w:cs="Times New Roman"/>
                <w:b/>
                <w:color w:val="000000"/>
                <w:sz w:val="24"/>
                <w:szCs w:val="24"/>
              </w:rPr>
              <w:t>Inc</w:t>
            </w:r>
            <w:proofErr w:type="spellEnd"/>
          </w:p>
        </w:tc>
        <w:tc>
          <w:tcPr>
            <w:tcW w:w="2533" w:type="dxa"/>
            <w:tcBorders>
              <w:top w:val="nil"/>
              <w:left w:val="nil"/>
              <w:bottom w:val="single" w:sz="4" w:space="0" w:color="auto"/>
              <w:right w:val="single" w:sz="4" w:space="0" w:color="auto"/>
            </w:tcBorders>
            <w:shd w:val="clear" w:color="auto" w:fill="auto"/>
            <w:noWrap/>
            <w:vAlign w:val="bottom"/>
            <w:hideMark/>
          </w:tcPr>
          <w:p w14:paraId="146F953B"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922 </w:t>
            </w:r>
          </w:p>
        </w:tc>
        <w:tc>
          <w:tcPr>
            <w:tcW w:w="2520" w:type="dxa"/>
            <w:tcBorders>
              <w:top w:val="nil"/>
              <w:left w:val="nil"/>
              <w:bottom w:val="single" w:sz="4" w:space="0" w:color="auto"/>
              <w:right w:val="single" w:sz="4" w:space="0" w:color="auto"/>
            </w:tcBorders>
            <w:shd w:val="clear" w:color="auto" w:fill="auto"/>
            <w:noWrap/>
            <w:vAlign w:val="bottom"/>
            <w:hideMark/>
          </w:tcPr>
          <w:p w14:paraId="17BCAF35"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5.82%</w:t>
            </w:r>
          </w:p>
        </w:tc>
        <w:tc>
          <w:tcPr>
            <w:tcW w:w="652" w:type="dxa"/>
            <w:tcBorders>
              <w:top w:val="nil"/>
              <w:left w:val="nil"/>
              <w:bottom w:val="single" w:sz="4" w:space="0" w:color="auto"/>
              <w:right w:val="single" w:sz="4" w:space="0" w:color="auto"/>
            </w:tcBorders>
            <w:shd w:val="clear" w:color="auto" w:fill="auto"/>
            <w:noWrap/>
            <w:vAlign w:val="bottom"/>
            <w:hideMark/>
          </w:tcPr>
          <w:p w14:paraId="3C9A55A0"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25.67%</w:t>
            </w:r>
          </w:p>
        </w:tc>
      </w:tr>
      <w:tr w:rsidR="00472FFB" w:rsidRPr="00605205" w14:paraId="31A8E723" w14:textId="77777777" w:rsidTr="001B2A11">
        <w:trPr>
          <w:trHeight w:val="458"/>
        </w:trPr>
        <w:tc>
          <w:tcPr>
            <w:tcW w:w="1332" w:type="dxa"/>
            <w:tcBorders>
              <w:top w:val="nil"/>
              <w:left w:val="single" w:sz="4" w:space="0" w:color="auto"/>
              <w:bottom w:val="single" w:sz="4" w:space="0" w:color="auto"/>
              <w:right w:val="single" w:sz="4" w:space="0" w:color="auto"/>
            </w:tcBorders>
            <w:shd w:val="clear" w:color="auto" w:fill="auto"/>
            <w:noWrap/>
            <w:vAlign w:val="bottom"/>
            <w:hideMark/>
          </w:tcPr>
          <w:p w14:paraId="61536812" w14:textId="77777777" w:rsidR="00472FFB" w:rsidRPr="00605205" w:rsidRDefault="00472FFB" w:rsidP="00531918">
            <w:pPr>
              <w:spacing w:line="240" w:lineRule="auto"/>
              <w:jc w:val="center"/>
              <w:rPr>
                <w:rFonts w:ascii="Times New Roman" w:eastAsia="Times New Roman" w:hAnsi="Times New Roman" w:cs="Times New Roman"/>
                <w:b/>
                <w:color w:val="000000"/>
                <w:sz w:val="24"/>
                <w:szCs w:val="24"/>
              </w:rPr>
            </w:pPr>
            <w:r w:rsidRPr="00605205">
              <w:rPr>
                <w:rFonts w:ascii="Times New Roman" w:eastAsia="Times New Roman" w:hAnsi="Times New Roman" w:cs="Times New Roman"/>
                <w:b/>
                <w:color w:val="000000"/>
                <w:sz w:val="24"/>
                <w:szCs w:val="24"/>
              </w:rPr>
              <w:lastRenderedPageBreak/>
              <w:t>A&amp;E</w:t>
            </w:r>
          </w:p>
        </w:tc>
        <w:tc>
          <w:tcPr>
            <w:tcW w:w="2533" w:type="dxa"/>
            <w:tcBorders>
              <w:top w:val="nil"/>
              <w:left w:val="nil"/>
              <w:bottom w:val="single" w:sz="4" w:space="0" w:color="auto"/>
              <w:right w:val="single" w:sz="4" w:space="0" w:color="auto"/>
            </w:tcBorders>
            <w:shd w:val="clear" w:color="auto" w:fill="auto"/>
            <w:noWrap/>
            <w:vAlign w:val="bottom"/>
            <w:hideMark/>
          </w:tcPr>
          <w:p w14:paraId="57CC6B28"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199 </w:t>
            </w:r>
          </w:p>
        </w:tc>
        <w:tc>
          <w:tcPr>
            <w:tcW w:w="2520" w:type="dxa"/>
            <w:tcBorders>
              <w:top w:val="nil"/>
              <w:left w:val="nil"/>
              <w:bottom w:val="single" w:sz="4" w:space="0" w:color="auto"/>
              <w:right w:val="single" w:sz="4" w:space="0" w:color="auto"/>
            </w:tcBorders>
            <w:shd w:val="clear" w:color="auto" w:fill="auto"/>
            <w:noWrap/>
            <w:vAlign w:val="bottom"/>
            <w:hideMark/>
          </w:tcPr>
          <w:p w14:paraId="5837B798"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5.24%</w:t>
            </w:r>
          </w:p>
        </w:tc>
        <w:tc>
          <w:tcPr>
            <w:tcW w:w="652" w:type="dxa"/>
            <w:tcBorders>
              <w:top w:val="nil"/>
              <w:left w:val="nil"/>
              <w:bottom w:val="single" w:sz="4" w:space="0" w:color="auto"/>
              <w:right w:val="single" w:sz="4" w:space="0" w:color="auto"/>
            </w:tcBorders>
            <w:shd w:val="clear" w:color="auto" w:fill="auto"/>
            <w:noWrap/>
            <w:vAlign w:val="bottom"/>
            <w:hideMark/>
          </w:tcPr>
          <w:p w14:paraId="6C8B28CB" w14:textId="77777777" w:rsidR="00472FFB" w:rsidRPr="00605205" w:rsidRDefault="00472FFB" w:rsidP="00531918">
            <w:pPr>
              <w:spacing w:line="240" w:lineRule="auto"/>
              <w:jc w:val="center"/>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11.08%</w:t>
            </w:r>
          </w:p>
        </w:tc>
      </w:tr>
      <w:tr w:rsidR="00472FFB" w:rsidRPr="00605205" w14:paraId="77DA60FC" w14:textId="77777777" w:rsidTr="001B2A11">
        <w:trPr>
          <w:trHeight w:val="288"/>
        </w:trPr>
        <w:tc>
          <w:tcPr>
            <w:tcW w:w="3865" w:type="dxa"/>
            <w:gridSpan w:val="2"/>
            <w:tcBorders>
              <w:top w:val="nil"/>
              <w:left w:val="nil"/>
              <w:bottom w:val="nil"/>
              <w:right w:val="nil"/>
            </w:tcBorders>
            <w:shd w:val="clear" w:color="auto" w:fill="auto"/>
            <w:noWrap/>
            <w:vAlign w:val="bottom"/>
            <w:hideMark/>
          </w:tcPr>
          <w:p w14:paraId="37B7F911"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See Table xx</w:t>
            </w:r>
          </w:p>
        </w:tc>
        <w:tc>
          <w:tcPr>
            <w:tcW w:w="2520" w:type="dxa"/>
            <w:tcBorders>
              <w:top w:val="nil"/>
              <w:left w:val="nil"/>
              <w:bottom w:val="nil"/>
              <w:right w:val="nil"/>
            </w:tcBorders>
            <w:shd w:val="clear" w:color="auto" w:fill="auto"/>
            <w:noWrap/>
            <w:vAlign w:val="bottom"/>
            <w:hideMark/>
          </w:tcPr>
          <w:p w14:paraId="27DAC25D" w14:textId="77777777" w:rsidR="00472FFB" w:rsidRPr="00605205" w:rsidRDefault="00472FFB" w:rsidP="00531918">
            <w:pPr>
              <w:spacing w:line="240" w:lineRule="auto"/>
              <w:rPr>
                <w:rFonts w:ascii="Times New Roman" w:eastAsia="Times New Roman" w:hAnsi="Times New Roman" w:cs="Times New Roman"/>
                <w:color w:val="000000"/>
                <w:sz w:val="24"/>
                <w:szCs w:val="24"/>
              </w:rPr>
            </w:pPr>
          </w:p>
        </w:tc>
        <w:tc>
          <w:tcPr>
            <w:tcW w:w="652" w:type="dxa"/>
            <w:tcBorders>
              <w:top w:val="nil"/>
              <w:left w:val="nil"/>
              <w:bottom w:val="nil"/>
              <w:right w:val="nil"/>
            </w:tcBorders>
            <w:shd w:val="clear" w:color="auto" w:fill="auto"/>
            <w:noWrap/>
            <w:vAlign w:val="bottom"/>
            <w:hideMark/>
          </w:tcPr>
          <w:p w14:paraId="0E5F44AD" w14:textId="77777777" w:rsidR="00472FFB" w:rsidRPr="00605205" w:rsidRDefault="00472FFB" w:rsidP="00531918">
            <w:pPr>
              <w:spacing w:line="240" w:lineRule="auto"/>
              <w:rPr>
                <w:rFonts w:ascii="Times New Roman" w:eastAsia="Times New Roman" w:hAnsi="Times New Roman" w:cs="Times New Roman"/>
                <w:sz w:val="24"/>
                <w:szCs w:val="24"/>
              </w:rPr>
            </w:pPr>
          </w:p>
        </w:tc>
      </w:tr>
    </w:tbl>
    <w:p w14:paraId="0FC78FF9" w14:textId="77777777" w:rsidR="00472FFB" w:rsidRPr="00605205" w:rsidRDefault="00472FFB" w:rsidP="00472FFB">
      <w:pPr>
        <w:rPr>
          <w:rFonts w:ascii="Times New Roman" w:hAnsi="Times New Roman" w:cs="Times New Roman"/>
          <w:sz w:val="24"/>
          <w:szCs w:val="24"/>
        </w:rPr>
      </w:pPr>
    </w:p>
    <w:p w14:paraId="75EAF0A3" w14:textId="77777777" w:rsidR="00472FFB" w:rsidRPr="00605205" w:rsidRDefault="00472FFB" w:rsidP="00472FFB">
      <w:pPr>
        <w:rPr>
          <w:rFonts w:ascii="Times New Roman" w:hAnsi="Times New Roman" w:cs="Times New Roman"/>
          <w:b/>
          <w:sz w:val="24"/>
          <w:szCs w:val="24"/>
        </w:rPr>
      </w:pPr>
      <w:r w:rsidRPr="00605205">
        <w:rPr>
          <w:rFonts w:ascii="Times New Roman" w:hAnsi="Times New Roman" w:cs="Times New Roman"/>
          <w:b/>
          <w:sz w:val="24"/>
          <w:szCs w:val="24"/>
        </w:rPr>
        <w:t>Return on Equity</w:t>
      </w:r>
    </w:p>
    <w:p w14:paraId="511E8B5C" w14:textId="77777777" w:rsidR="00472FFB" w:rsidRPr="00605205" w:rsidRDefault="00472FFB" w:rsidP="00472FFB">
      <w:pPr>
        <w:rPr>
          <w:rFonts w:ascii="Times New Roman" w:hAnsi="Times New Roman" w:cs="Times New Roman"/>
          <w:sz w:val="24"/>
          <w:szCs w:val="24"/>
        </w:rPr>
      </w:pPr>
      <w:r w:rsidRPr="00605205">
        <w:rPr>
          <w:rFonts w:ascii="Times New Roman" w:hAnsi="Times New Roman" w:cs="Times New Roman"/>
          <w:sz w:val="24"/>
          <w:szCs w:val="24"/>
        </w:rPr>
        <w:t xml:space="preserve">ROE is calculated by dividing net income by average stockholder equity.  This is a measurement of the shareholders return on investment, how much income is earned relative to equity invested.  Shareholders of The Gap Inc. see a greater return than those of American </w:t>
      </w:r>
      <w:proofErr w:type="gramStart"/>
      <w:r w:rsidRPr="00605205">
        <w:rPr>
          <w:rFonts w:ascii="Times New Roman" w:hAnsi="Times New Roman" w:cs="Times New Roman"/>
          <w:sz w:val="24"/>
          <w:szCs w:val="24"/>
        </w:rPr>
        <w:t>Eagle</w:t>
      </w:r>
      <w:proofErr w:type="gramEnd"/>
      <w:r w:rsidRPr="00605205">
        <w:rPr>
          <w:rFonts w:ascii="Times New Roman" w:hAnsi="Times New Roman" w:cs="Times New Roman"/>
          <w:sz w:val="24"/>
          <w:szCs w:val="24"/>
        </w:rPr>
        <w:t>, and slightly above the apparel industry average.</w:t>
      </w:r>
    </w:p>
    <w:p w14:paraId="1BD522DD" w14:textId="77777777" w:rsidR="001B2A11" w:rsidRPr="00605205" w:rsidRDefault="001B2A11" w:rsidP="00472FFB">
      <w:pPr>
        <w:rPr>
          <w:rFonts w:ascii="Times New Roman" w:hAnsi="Times New Roman" w:cs="Times New Roman"/>
          <w:sz w:val="24"/>
          <w:szCs w:val="24"/>
        </w:rPr>
      </w:pPr>
    </w:p>
    <w:tbl>
      <w:tblPr>
        <w:tblW w:w="9042" w:type="dxa"/>
        <w:tblLook w:val="04A0" w:firstRow="1" w:lastRow="0" w:firstColumn="1" w:lastColumn="0" w:noHBand="0" w:noVBand="1"/>
      </w:tblPr>
      <w:tblGrid>
        <w:gridCol w:w="2250"/>
        <w:gridCol w:w="2520"/>
        <w:gridCol w:w="2677"/>
        <w:gridCol w:w="1676"/>
      </w:tblGrid>
      <w:tr w:rsidR="001B2A11" w:rsidRPr="00605205" w14:paraId="3691F849" w14:textId="77777777" w:rsidTr="001B2A11">
        <w:trPr>
          <w:trHeight w:val="288"/>
        </w:trPr>
        <w:tc>
          <w:tcPr>
            <w:tcW w:w="2250" w:type="dxa"/>
            <w:tcBorders>
              <w:top w:val="nil"/>
              <w:left w:val="nil"/>
              <w:bottom w:val="nil"/>
              <w:right w:val="nil"/>
            </w:tcBorders>
            <w:shd w:val="clear" w:color="auto" w:fill="auto"/>
            <w:noWrap/>
            <w:vAlign w:val="bottom"/>
            <w:hideMark/>
          </w:tcPr>
          <w:p w14:paraId="5AA734FA" w14:textId="77777777" w:rsidR="00472FFB" w:rsidRPr="00605205" w:rsidRDefault="00472FFB" w:rsidP="00531918">
            <w:pPr>
              <w:spacing w:line="240" w:lineRule="auto"/>
              <w:rPr>
                <w:rFonts w:ascii="Times New Roman" w:eastAsia="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8399A" w14:textId="77777777" w:rsidR="00472FFB" w:rsidRPr="00605205" w:rsidRDefault="00472FFB" w:rsidP="00531918">
            <w:pPr>
              <w:spacing w:line="240" w:lineRule="auto"/>
              <w:rPr>
                <w:rFonts w:ascii="Times New Roman" w:eastAsia="Times New Roman" w:hAnsi="Times New Roman" w:cs="Times New Roman"/>
                <w:b/>
                <w:bCs/>
                <w:color w:val="000000"/>
                <w:sz w:val="24"/>
                <w:szCs w:val="24"/>
              </w:rPr>
            </w:pPr>
            <w:r w:rsidRPr="00605205">
              <w:rPr>
                <w:rFonts w:ascii="Times New Roman" w:eastAsia="Times New Roman" w:hAnsi="Times New Roman" w:cs="Times New Roman"/>
                <w:b/>
                <w:bCs/>
                <w:color w:val="000000"/>
                <w:sz w:val="24"/>
                <w:szCs w:val="24"/>
              </w:rPr>
              <w:t>Net Income</w:t>
            </w:r>
          </w:p>
        </w:tc>
        <w:tc>
          <w:tcPr>
            <w:tcW w:w="2677" w:type="dxa"/>
            <w:tcBorders>
              <w:top w:val="single" w:sz="4" w:space="0" w:color="auto"/>
              <w:left w:val="nil"/>
              <w:bottom w:val="single" w:sz="4" w:space="0" w:color="auto"/>
              <w:right w:val="single" w:sz="4" w:space="0" w:color="auto"/>
            </w:tcBorders>
            <w:shd w:val="clear" w:color="auto" w:fill="auto"/>
            <w:noWrap/>
            <w:vAlign w:val="bottom"/>
            <w:hideMark/>
          </w:tcPr>
          <w:p w14:paraId="5FB6C087" w14:textId="77777777" w:rsidR="00472FFB" w:rsidRPr="00605205" w:rsidRDefault="00472FFB" w:rsidP="00531918">
            <w:pPr>
              <w:spacing w:line="240" w:lineRule="auto"/>
              <w:rPr>
                <w:rFonts w:ascii="Times New Roman" w:eastAsia="Times New Roman" w:hAnsi="Times New Roman" w:cs="Times New Roman"/>
                <w:b/>
                <w:bCs/>
                <w:color w:val="000000"/>
                <w:sz w:val="24"/>
                <w:szCs w:val="24"/>
              </w:rPr>
            </w:pPr>
            <w:r w:rsidRPr="00605205">
              <w:rPr>
                <w:rFonts w:ascii="Times New Roman" w:eastAsia="Times New Roman" w:hAnsi="Times New Roman" w:cs="Times New Roman"/>
                <w:b/>
                <w:bCs/>
                <w:color w:val="000000"/>
                <w:sz w:val="24"/>
                <w:szCs w:val="24"/>
              </w:rPr>
              <w:t>Average Equity</w:t>
            </w:r>
          </w:p>
        </w:tc>
        <w:tc>
          <w:tcPr>
            <w:tcW w:w="1595" w:type="dxa"/>
            <w:tcBorders>
              <w:top w:val="single" w:sz="4" w:space="0" w:color="auto"/>
              <w:left w:val="nil"/>
              <w:bottom w:val="single" w:sz="4" w:space="0" w:color="auto"/>
              <w:right w:val="single" w:sz="4" w:space="0" w:color="auto"/>
            </w:tcBorders>
            <w:shd w:val="clear" w:color="auto" w:fill="auto"/>
            <w:noWrap/>
            <w:vAlign w:val="bottom"/>
            <w:hideMark/>
          </w:tcPr>
          <w:p w14:paraId="0104F75A" w14:textId="77777777" w:rsidR="00472FFB" w:rsidRPr="00605205" w:rsidRDefault="00472FFB" w:rsidP="00531918">
            <w:pPr>
              <w:spacing w:line="240" w:lineRule="auto"/>
              <w:rPr>
                <w:rFonts w:ascii="Times New Roman" w:eastAsia="Times New Roman" w:hAnsi="Times New Roman" w:cs="Times New Roman"/>
                <w:b/>
                <w:bCs/>
                <w:color w:val="000000"/>
                <w:sz w:val="24"/>
                <w:szCs w:val="24"/>
              </w:rPr>
            </w:pPr>
            <w:r w:rsidRPr="00605205">
              <w:rPr>
                <w:rFonts w:ascii="Times New Roman" w:eastAsia="Times New Roman" w:hAnsi="Times New Roman" w:cs="Times New Roman"/>
                <w:b/>
                <w:bCs/>
                <w:color w:val="000000"/>
                <w:sz w:val="24"/>
                <w:szCs w:val="24"/>
              </w:rPr>
              <w:t>ROE</w:t>
            </w:r>
          </w:p>
        </w:tc>
      </w:tr>
      <w:tr w:rsidR="001B2A11" w:rsidRPr="00605205" w14:paraId="0592A865" w14:textId="77777777" w:rsidTr="001B2A11">
        <w:trPr>
          <w:trHeight w:val="288"/>
        </w:trPr>
        <w:tc>
          <w:tcPr>
            <w:tcW w:w="22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ED207" w14:textId="77777777" w:rsidR="00472FFB" w:rsidRPr="00605205" w:rsidRDefault="00472FFB" w:rsidP="00531918">
            <w:pPr>
              <w:spacing w:line="240" w:lineRule="auto"/>
              <w:rPr>
                <w:rFonts w:ascii="Times New Roman" w:eastAsia="Times New Roman" w:hAnsi="Times New Roman" w:cs="Times New Roman"/>
                <w:b/>
                <w:bCs/>
                <w:color w:val="000000"/>
                <w:sz w:val="24"/>
                <w:szCs w:val="24"/>
              </w:rPr>
            </w:pPr>
            <w:r w:rsidRPr="00605205">
              <w:rPr>
                <w:rFonts w:ascii="Times New Roman" w:eastAsia="Times New Roman" w:hAnsi="Times New Roman" w:cs="Times New Roman"/>
                <w:b/>
                <w:bCs/>
                <w:color w:val="000000"/>
                <w:sz w:val="24"/>
                <w:szCs w:val="24"/>
              </w:rPr>
              <w:t>The Gap</w:t>
            </w:r>
          </w:p>
        </w:tc>
        <w:tc>
          <w:tcPr>
            <w:tcW w:w="2520" w:type="dxa"/>
            <w:tcBorders>
              <w:top w:val="nil"/>
              <w:left w:val="nil"/>
              <w:bottom w:val="single" w:sz="4" w:space="0" w:color="auto"/>
              <w:right w:val="single" w:sz="4" w:space="0" w:color="auto"/>
            </w:tcBorders>
            <w:shd w:val="clear" w:color="auto" w:fill="auto"/>
            <w:noWrap/>
            <w:vAlign w:val="bottom"/>
            <w:hideMark/>
          </w:tcPr>
          <w:p w14:paraId="1CFC1CC1"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920.0 </w:t>
            </w:r>
          </w:p>
        </w:tc>
        <w:tc>
          <w:tcPr>
            <w:tcW w:w="2677" w:type="dxa"/>
            <w:tcBorders>
              <w:top w:val="nil"/>
              <w:left w:val="nil"/>
              <w:bottom w:val="single" w:sz="4" w:space="0" w:color="auto"/>
              <w:right w:val="single" w:sz="4" w:space="0" w:color="auto"/>
            </w:tcBorders>
            <w:shd w:val="clear" w:color="auto" w:fill="auto"/>
            <w:noWrap/>
            <w:vAlign w:val="bottom"/>
            <w:hideMark/>
          </w:tcPr>
          <w:p w14:paraId="0EE7D329"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3,024.0 </w:t>
            </w:r>
          </w:p>
        </w:tc>
        <w:tc>
          <w:tcPr>
            <w:tcW w:w="1595" w:type="dxa"/>
            <w:tcBorders>
              <w:top w:val="nil"/>
              <w:left w:val="nil"/>
              <w:bottom w:val="single" w:sz="4" w:space="0" w:color="auto"/>
              <w:right w:val="single" w:sz="4" w:space="0" w:color="auto"/>
            </w:tcBorders>
            <w:shd w:val="clear" w:color="auto" w:fill="auto"/>
            <w:noWrap/>
            <w:vAlign w:val="bottom"/>
            <w:hideMark/>
          </w:tcPr>
          <w:p w14:paraId="6E9C8476" w14:textId="77777777" w:rsidR="00472FFB" w:rsidRPr="00605205" w:rsidRDefault="00472FFB" w:rsidP="00531918">
            <w:pPr>
              <w:spacing w:line="240" w:lineRule="auto"/>
              <w:jc w:val="right"/>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30.42%</w:t>
            </w:r>
          </w:p>
        </w:tc>
      </w:tr>
      <w:tr w:rsidR="001B2A11" w:rsidRPr="00605205" w14:paraId="3FB861C4" w14:textId="77777777" w:rsidTr="001B2A11">
        <w:trPr>
          <w:trHeight w:val="288"/>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14:paraId="6652D22D" w14:textId="77777777" w:rsidR="00472FFB" w:rsidRPr="00605205" w:rsidRDefault="00472FFB" w:rsidP="00531918">
            <w:pPr>
              <w:spacing w:line="240" w:lineRule="auto"/>
              <w:rPr>
                <w:rFonts w:ascii="Times New Roman" w:eastAsia="Times New Roman" w:hAnsi="Times New Roman" w:cs="Times New Roman"/>
                <w:b/>
                <w:bCs/>
                <w:color w:val="000000"/>
                <w:sz w:val="24"/>
                <w:szCs w:val="24"/>
              </w:rPr>
            </w:pPr>
            <w:r w:rsidRPr="00605205">
              <w:rPr>
                <w:rFonts w:ascii="Times New Roman" w:eastAsia="Times New Roman" w:hAnsi="Times New Roman" w:cs="Times New Roman"/>
                <w:b/>
                <w:bCs/>
                <w:color w:val="000000"/>
                <w:sz w:val="24"/>
                <w:szCs w:val="24"/>
              </w:rPr>
              <w:t>A&amp;E</w:t>
            </w:r>
          </w:p>
        </w:tc>
        <w:tc>
          <w:tcPr>
            <w:tcW w:w="2520" w:type="dxa"/>
            <w:tcBorders>
              <w:top w:val="nil"/>
              <w:left w:val="nil"/>
              <w:bottom w:val="single" w:sz="4" w:space="0" w:color="auto"/>
              <w:right w:val="single" w:sz="4" w:space="0" w:color="auto"/>
            </w:tcBorders>
            <w:shd w:val="clear" w:color="auto" w:fill="auto"/>
            <w:noWrap/>
            <w:vAlign w:val="bottom"/>
            <w:hideMark/>
          </w:tcPr>
          <w:p w14:paraId="1255FDFD"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80.3 </w:t>
            </w:r>
          </w:p>
        </w:tc>
        <w:tc>
          <w:tcPr>
            <w:tcW w:w="2677" w:type="dxa"/>
            <w:tcBorders>
              <w:top w:val="nil"/>
              <w:left w:val="nil"/>
              <w:bottom w:val="single" w:sz="4" w:space="0" w:color="auto"/>
              <w:right w:val="single" w:sz="4" w:space="0" w:color="auto"/>
            </w:tcBorders>
            <w:shd w:val="clear" w:color="auto" w:fill="auto"/>
            <w:noWrap/>
            <w:vAlign w:val="bottom"/>
            <w:hideMark/>
          </w:tcPr>
          <w:p w14:paraId="07FD8D22"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xml:space="preserve"> $            1,225.0 </w:t>
            </w:r>
          </w:p>
        </w:tc>
        <w:tc>
          <w:tcPr>
            <w:tcW w:w="1595" w:type="dxa"/>
            <w:tcBorders>
              <w:top w:val="nil"/>
              <w:left w:val="nil"/>
              <w:bottom w:val="single" w:sz="4" w:space="0" w:color="auto"/>
              <w:right w:val="single" w:sz="4" w:space="0" w:color="auto"/>
            </w:tcBorders>
            <w:shd w:val="clear" w:color="auto" w:fill="auto"/>
            <w:noWrap/>
            <w:vAlign w:val="bottom"/>
            <w:hideMark/>
          </w:tcPr>
          <w:p w14:paraId="251C0A00" w14:textId="77777777" w:rsidR="00472FFB" w:rsidRPr="00605205" w:rsidRDefault="00472FFB" w:rsidP="00531918">
            <w:pPr>
              <w:spacing w:line="240" w:lineRule="auto"/>
              <w:jc w:val="right"/>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6.56%</w:t>
            </w:r>
          </w:p>
        </w:tc>
      </w:tr>
      <w:tr w:rsidR="001B2A11" w:rsidRPr="00605205" w14:paraId="2E378B9C" w14:textId="77777777" w:rsidTr="001B2A11">
        <w:trPr>
          <w:trHeight w:val="288"/>
        </w:trPr>
        <w:tc>
          <w:tcPr>
            <w:tcW w:w="2250" w:type="dxa"/>
            <w:tcBorders>
              <w:top w:val="nil"/>
              <w:left w:val="single" w:sz="4" w:space="0" w:color="auto"/>
              <w:bottom w:val="single" w:sz="4" w:space="0" w:color="auto"/>
              <w:right w:val="single" w:sz="4" w:space="0" w:color="auto"/>
            </w:tcBorders>
            <w:shd w:val="clear" w:color="auto" w:fill="auto"/>
            <w:noWrap/>
            <w:vAlign w:val="bottom"/>
            <w:hideMark/>
          </w:tcPr>
          <w:p w14:paraId="1F8B65C9" w14:textId="77777777" w:rsidR="00472FFB" w:rsidRPr="00605205" w:rsidRDefault="00472FFB" w:rsidP="00531918">
            <w:pPr>
              <w:spacing w:line="240" w:lineRule="auto"/>
              <w:rPr>
                <w:rFonts w:ascii="Times New Roman" w:eastAsia="Times New Roman" w:hAnsi="Times New Roman" w:cs="Times New Roman"/>
                <w:b/>
                <w:bCs/>
                <w:color w:val="000000"/>
                <w:sz w:val="24"/>
                <w:szCs w:val="24"/>
              </w:rPr>
            </w:pPr>
            <w:r w:rsidRPr="00605205">
              <w:rPr>
                <w:rFonts w:ascii="Times New Roman" w:eastAsia="Times New Roman" w:hAnsi="Times New Roman" w:cs="Times New Roman"/>
                <w:b/>
                <w:bCs/>
                <w:color w:val="000000"/>
                <w:sz w:val="24"/>
                <w:szCs w:val="24"/>
              </w:rPr>
              <w:t>Industry</w:t>
            </w:r>
          </w:p>
        </w:tc>
        <w:tc>
          <w:tcPr>
            <w:tcW w:w="2520" w:type="dxa"/>
            <w:tcBorders>
              <w:top w:val="nil"/>
              <w:left w:val="nil"/>
              <w:bottom w:val="single" w:sz="4" w:space="0" w:color="auto"/>
              <w:right w:val="single" w:sz="4" w:space="0" w:color="auto"/>
            </w:tcBorders>
            <w:shd w:val="clear" w:color="auto" w:fill="auto"/>
            <w:noWrap/>
            <w:vAlign w:val="bottom"/>
            <w:hideMark/>
          </w:tcPr>
          <w:p w14:paraId="41CC91BB"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w:t>
            </w:r>
          </w:p>
        </w:tc>
        <w:tc>
          <w:tcPr>
            <w:tcW w:w="2677" w:type="dxa"/>
            <w:tcBorders>
              <w:top w:val="nil"/>
              <w:left w:val="nil"/>
              <w:bottom w:val="single" w:sz="4" w:space="0" w:color="auto"/>
              <w:right w:val="single" w:sz="4" w:space="0" w:color="auto"/>
            </w:tcBorders>
            <w:shd w:val="clear" w:color="auto" w:fill="auto"/>
            <w:noWrap/>
            <w:vAlign w:val="bottom"/>
            <w:hideMark/>
          </w:tcPr>
          <w:p w14:paraId="5FFF983C"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 </w:t>
            </w:r>
          </w:p>
        </w:tc>
        <w:tc>
          <w:tcPr>
            <w:tcW w:w="1595" w:type="dxa"/>
            <w:tcBorders>
              <w:top w:val="nil"/>
              <w:left w:val="nil"/>
              <w:bottom w:val="single" w:sz="4" w:space="0" w:color="auto"/>
              <w:right w:val="single" w:sz="4" w:space="0" w:color="auto"/>
            </w:tcBorders>
            <w:shd w:val="clear" w:color="auto" w:fill="auto"/>
            <w:noWrap/>
            <w:vAlign w:val="bottom"/>
            <w:hideMark/>
          </w:tcPr>
          <w:p w14:paraId="6B8025D0" w14:textId="77777777" w:rsidR="00472FFB" w:rsidRPr="00605205" w:rsidRDefault="00472FFB" w:rsidP="00531918">
            <w:pPr>
              <w:spacing w:line="240" w:lineRule="auto"/>
              <w:jc w:val="right"/>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26.13%</w:t>
            </w:r>
          </w:p>
        </w:tc>
      </w:tr>
      <w:tr w:rsidR="00472FFB" w:rsidRPr="00605205" w14:paraId="53805D8B" w14:textId="77777777" w:rsidTr="001B2A11">
        <w:trPr>
          <w:trHeight w:val="288"/>
        </w:trPr>
        <w:tc>
          <w:tcPr>
            <w:tcW w:w="9042" w:type="dxa"/>
            <w:gridSpan w:val="4"/>
            <w:tcBorders>
              <w:top w:val="nil"/>
              <w:left w:val="nil"/>
              <w:bottom w:val="nil"/>
              <w:right w:val="nil"/>
            </w:tcBorders>
            <w:shd w:val="clear" w:color="auto" w:fill="auto"/>
            <w:noWrap/>
            <w:vAlign w:val="bottom"/>
            <w:hideMark/>
          </w:tcPr>
          <w:p w14:paraId="23F39AA4" w14:textId="77777777" w:rsidR="00472FFB" w:rsidRPr="00605205" w:rsidRDefault="00472FFB" w:rsidP="00531918">
            <w:pPr>
              <w:spacing w:line="240" w:lineRule="auto"/>
              <w:rPr>
                <w:rFonts w:ascii="Times New Roman" w:eastAsia="Times New Roman" w:hAnsi="Times New Roman" w:cs="Times New Roman"/>
                <w:color w:val="000000"/>
                <w:sz w:val="24"/>
                <w:szCs w:val="24"/>
              </w:rPr>
            </w:pPr>
            <w:r w:rsidRPr="00605205">
              <w:rPr>
                <w:rFonts w:ascii="Times New Roman" w:eastAsia="Times New Roman" w:hAnsi="Times New Roman" w:cs="Times New Roman"/>
                <w:color w:val="000000"/>
                <w:sz w:val="24"/>
                <w:szCs w:val="24"/>
              </w:rPr>
              <w:t>https://csimarket.com/Industry/industry_ManagementEffectiveness.php?ind=1301</w:t>
            </w:r>
          </w:p>
        </w:tc>
      </w:tr>
      <w:tr w:rsidR="00472FFB" w:rsidRPr="00605205" w14:paraId="2F061F9F" w14:textId="77777777" w:rsidTr="001B2A11">
        <w:trPr>
          <w:trHeight w:val="288"/>
        </w:trPr>
        <w:tc>
          <w:tcPr>
            <w:tcW w:w="9042" w:type="dxa"/>
            <w:gridSpan w:val="4"/>
            <w:tcBorders>
              <w:top w:val="nil"/>
              <w:left w:val="nil"/>
              <w:bottom w:val="nil"/>
              <w:right w:val="nil"/>
            </w:tcBorders>
            <w:shd w:val="clear" w:color="auto" w:fill="auto"/>
            <w:noWrap/>
            <w:vAlign w:val="bottom"/>
          </w:tcPr>
          <w:p w14:paraId="7E9180C6" w14:textId="77777777" w:rsidR="00472FFB" w:rsidRPr="00605205" w:rsidRDefault="00472FFB" w:rsidP="00531918">
            <w:pPr>
              <w:spacing w:line="240" w:lineRule="auto"/>
              <w:rPr>
                <w:rFonts w:ascii="Times New Roman" w:eastAsia="Times New Roman" w:hAnsi="Times New Roman" w:cs="Times New Roman"/>
                <w:color w:val="000000"/>
                <w:sz w:val="24"/>
                <w:szCs w:val="24"/>
              </w:rPr>
            </w:pPr>
          </w:p>
        </w:tc>
      </w:tr>
    </w:tbl>
    <w:p w14:paraId="18F7DBA0" w14:textId="77777777" w:rsidR="00472FFB" w:rsidRPr="00605205" w:rsidRDefault="00472FFB" w:rsidP="00472FFB">
      <w:pPr>
        <w:jc w:val="center"/>
        <w:rPr>
          <w:rFonts w:ascii="Times New Roman" w:hAnsi="Times New Roman" w:cs="Times New Roman"/>
          <w:sz w:val="24"/>
          <w:szCs w:val="24"/>
        </w:rPr>
      </w:pPr>
    </w:p>
    <w:p w14:paraId="77B139D3" w14:textId="77777777" w:rsidR="00472FFB" w:rsidRPr="00605205" w:rsidRDefault="00472FFB" w:rsidP="00472FFB">
      <w:pPr>
        <w:jc w:val="center"/>
        <w:rPr>
          <w:rFonts w:ascii="Times New Roman" w:hAnsi="Times New Roman" w:cs="Times New Roman"/>
          <w:sz w:val="24"/>
          <w:szCs w:val="24"/>
        </w:rPr>
      </w:pPr>
    </w:p>
    <w:p w14:paraId="65045666" w14:textId="77777777" w:rsidR="007D74A7" w:rsidRPr="00605205" w:rsidRDefault="007D74A7" w:rsidP="00472FFB">
      <w:pPr>
        <w:ind w:firstLine="0"/>
        <w:rPr>
          <w:rFonts w:ascii="Times New Roman" w:hAnsi="Times New Roman" w:cs="Times New Roman"/>
          <w:sz w:val="24"/>
          <w:szCs w:val="24"/>
        </w:rPr>
      </w:pPr>
    </w:p>
    <w:sectPr w:rsidR="007D74A7" w:rsidRPr="006052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brien, Doyle (171)" w:date="2018-11-21T07:29:00Z" w:initials="OD(">
    <w:p w14:paraId="43320A39" w14:textId="77777777" w:rsidR="00DF4E13" w:rsidRPr="00DF4E13" w:rsidRDefault="00DF4E13" w:rsidP="00DF4E13">
      <w:pPr>
        <w:rPr>
          <w:rFonts w:ascii="Times New Roman" w:eastAsia="Times New Roman" w:hAnsi="Times New Roman" w:cs="Times New Roman"/>
          <w:sz w:val="24"/>
          <w:szCs w:val="24"/>
        </w:rPr>
      </w:pPr>
      <w:r>
        <w:rPr>
          <w:rStyle w:val="CommentReference"/>
        </w:rPr>
        <w:annotationRef/>
      </w:r>
      <w:r>
        <w:t xml:space="preserve">I show current assets as 3,985 from the Gap 10k and liabilities as 2,535.  I also show A&amp;E current assets as </w:t>
      </w:r>
      <w:r>
        <w:rPr>
          <w:rFonts w:ascii="Times New Roman" w:eastAsia="Times New Roman" w:hAnsi="Times New Roman" w:cs="Times New Roman"/>
          <w:sz w:val="20"/>
          <w:szCs w:val="20"/>
        </w:rPr>
        <w:t>890,513 and liabilities as 459,093 (thousands).  Am I missing a calculation to get to these numbers?</w:t>
      </w:r>
    </w:p>
  </w:comment>
  <w:comment w:id="1" w:author="O'brien, Doyle (171)" w:date="2018-11-21T07:28:00Z" w:initials="OD(">
    <w:p w14:paraId="71BF11B5" w14:textId="77777777" w:rsidR="00DF4E13" w:rsidRDefault="00DF4E13">
      <w:pPr>
        <w:pStyle w:val="CommentText"/>
      </w:pPr>
      <w:r>
        <w:rPr>
          <w:rStyle w:val="CommentReference"/>
        </w:rPr>
        <w:annotationRef/>
      </w:r>
      <w:r>
        <w:t xml:space="preserve">Should this be changed from thousands to millions to match the Gap?  </w:t>
      </w:r>
      <w:r>
        <w:t xml:space="preserve">Do we have different dollar amounts in other </w:t>
      </w:r>
      <w:r>
        <w:t>portions?</w:t>
      </w:r>
      <w:bookmarkStart w:id="2" w:name="_GoBack"/>
      <w:bookmarkEnd w:id="2"/>
    </w:p>
  </w:comment>
  <w:comment w:id="3" w:author="O'brien, Doyle (171)" w:date="2018-11-21T07:33:00Z" w:initials="OD(">
    <w:p w14:paraId="4A174743" w14:textId="77777777" w:rsidR="00DF4E13" w:rsidRDefault="00DF4E13">
      <w:pPr>
        <w:pStyle w:val="CommentText"/>
      </w:pPr>
      <w:r>
        <w:rPr>
          <w:rStyle w:val="CommentReference"/>
        </w:rPr>
        <w:annotationRef/>
      </w:r>
      <w:r>
        <w:t>ROE and RNOA are probably not identical, did this copy over wrong maybe?  Same for the Gap.  I did get the same ROE for my A&amp;E calculations below.</w:t>
      </w:r>
    </w:p>
  </w:comment>
  <w:comment w:id="4" w:author="O'brien, Doyle (171)" w:date="2018-11-21T07:34:00Z" w:initials="OD(">
    <w:p w14:paraId="7A15AE94" w14:textId="77777777" w:rsidR="00DF4E13" w:rsidRDefault="00DF4E13">
      <w:pPr>
        <w:pStyle w:val="CommentText"/>
      </w:pPr>
      <w:r>
        <w:rPr>
          <w:rStyle w:val="CommentReference"/>
        </w:rPr>
        <w:annotationRef/>
      </w:r>
      <w:r>
        <w:t>Do we need a number here?</w:t>
      </w:r>
    </w:p>
  </w:comment>
  <w:comment w:id="5" w:author="O'brien, Doyle (171)" w:date="2018-11-21T07:35:00Z" w:initials="OD(">
    <w:p w14:paraId="2CD74A6B" w14:textId="77777777" w:rsidR="00DF4E13" w:rsidRDefault="00DF4E13">
      <w:pPr>
        <w:pStyle w:val="CommentText"/>
      </w:pPr>
      <w:r>
        <w:rPr>
          <w:rStyle w:val="CommentReference"/>
        </w:rPr>
        <w:annotationRef/>
      </w:r>
      <w:r>
        <w:t>Please check my portion from here down and let me know if anything looks off.  The formatting keeps changing but we can make sure it is all the same for the final paper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320A39" w15:done="0"/>
  <w15:commentEx w15:paraId="71BF11B5" w15:done="0"/>
  <w15:commentEx w15:paraId="4A174743" w15:done="0"/>
  <w15:commentEx w15:paraId="7A15AE94" w15:done="0"/>
  <w15:commentEx w15:paraId="2CD74A6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794EEE"/>
    <w:multiLevelType w:val="hybridMultilevel"/>
    <w:tmpl w:val="F41C61FC"/>
    <w:lvl w:ilvl="0" w:tplc="DB527320">
      <w:start w:val="10"/>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brien, Doyle (171)">
    <w15:presenceInfo w15:providerId="AD" w15:userId="S-1-5-21-1195676537-1170379207-2318664563-333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1FB"/>
    <w:rsid w:val="000209FE"/>
    <w:rsid w:val="000A191B"/>
    <w:rsid w:val="001211FB"/>
    <w:rsid w:val="00174643"/>
    <w:rsid w:val="001B2A11"/>
    <w:rsid w:val="001D073F"/>
    <w:rsid w:val="002012F0"/>
    <w:rsid w:val="00250EC7"/>
    <w:rsid w:val="0026654D"/>
    <w:rsid w:val="002A3432"/>
    <w:rsid w:val="00430933"/>
    <w:rsid w:val="00472FFB"/>
    <w:rsid w:val="005953D7"/>
    <w:rsid w:val="00605205"/>
    <w:rsid w:val="006D6F38"/>
    <w:rsid w:val="0071390E"/>
    <w:rsid w:val="007C0CC0"/>
    <w:rsid w:val="007D12EA"/>
    <w:rsid w:val="007D74A7"/>
    <w:rsid w:val="0083395A"/>
    <w:rsid w:val="00872CFB"/>
    <w:rsid w:val="00920A99"/>
    <w:rsid w:val="009B0008"/>
    <w:rsid w:val="00A2426B"/>
    <w:rsid w:val="00B00FDD"/>
    <w:rsid w:val="00CD249B"/>
    <w:rsid w:val="00DC3ABB"/>
    <w:rsid w:val="00DF4E13"/>
    <w:rsid w:val="00E54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D1248"/>
  <w15:chartTrackingRefBased/>
  <w15:docId w15:val="{1E74F64C-FD05-4D7D-A68F-7D7E4B150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426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426B"/>
    <w:pPr>
      <w:ind w:left="720"/>
      <w:contextualSpacing/>
    </w:pPr>
  </w:style>
  <w:style w:type="paragraph" w:customStyle="1" w:styleId="Default">
    <w:name w:val="Default"/>
    <w:rsid w:val="00472FFB"/>
    <w:pPr>
      <w:autoSpaceDE w:val="0"/>
      <w:autoSpaceDN w:val="0"/>
      <w:adjustRightInd w:val="0"/>
      <w:spacing w:line="240" w:lineRule="auto"/>
      <w:ind w:firstLine="0"/>
    </w:pPr>
    <w:rPr>
      <w:rFonts w:ascii="Times New Roman" w:eastAsiaTheme="minorEastAsia" w:hAnsi="Times New Roman" w:cs="Times New Roman"/>
      <w:color w:val="000000"/>
      <w:sz w:val="24"/>
      <w:szCs w:val="24"/>
      <w:lang w:bidi="gu-IN"/>
    </w:rPr>
  </w:style>
  <w:style w:type="character" w:styleId="CommentReference">
    <w:name w:val="annotation reference"/>
    <w:basedOn w:val="DefaultParagraphFont"/>
    <w:uiPriority w:val="99"/>
    <w:semiHidden/>
    <w:unhideWhenUsed/>
    <w:rsid w:val="00DF4E13"/>
    <w:rPr>
      <w:sz w:val="16"/>
      <w:szCs w:val="16"/>
    </w:rPr>
  </w:style>
  <w:style w:type="paragraph" w:styleId="CommentText">
    <w:name w:val="annotation text"/>
    <w:basedOn w:val="Normal"/>
    <w:link w:val="CommentTextChar"/>
    <w:uiPriority w:val="99"/>
    <w:semiHidden/>
    <w:unhideWhenUsed/>
    <w:rsid w:val="00DF4E13"/>
    <w:pPr>
      <w:spacing w:line="240" w:lineRule="auto"/>
    </w:pPr>
    <w:rPr>
      <w:sz w:val="20"/>
      <w:szCs w:val="20"/>
    </w:rPr>
  </w:style>
  <w:style w:type="character" w:customStyle="1" w:styleId="CommentTextChar">
    <w:name w:val="Comment Text Char"/>
    <w:basedOn w:val="DefaultParagraphFont"/>
    <w:link w:val="CommentText"/>
    <w:uiPriority w:val="99"/>
    <w:semiHidden/>
    <w:rsid w:val="00DF4E13"/>
    <w:rPr>
      <w:sz w:val="20"/>
      <w:szCs w:val="20"/>
    </w:rPr>
  </w:style>
  <w:style w:type="paragraph" w:styleId="CommentSubject">
    <w:name w:val="annotation subject"/>
    <w:basedOn w:val="CommentText"/>
    <w:next w:val="CommentText"/>
    <w:link w:val="CommentSubjectChar"/>
    <w:uiPriority w:val="99"/>
    <w:semiHidden/>
    <w:unhideWhenUsed/>
    <w:rsid w:val="00DF4E13"/>
    <w:rPr>
      <w:b/>
      <w:bCs/>
    </w:rPr>
  </w:style>
  <w:style w:type="character" w:customStyle="1" w:styleId="CommentSubjectChar">
    <w:name w:val="Comment Subject Char"/>
    <w:basedOn w:val="CommentTextChar"/>
    <w:link w:val="CommentSubject"/>
    <w:uiPriority w:val="99"/>
    <w:semiHidden/>
    <w:rsid w:val="00DF4E13"/>
    <w:rPr>
      <w:b/>
      <w:bCs/>
      <w:sz w:val="20"/>
      <w:szCs w:val="20"/>
    </w:rPr>
  </w:style>
  <w:style w:type="paragraph" w:styleId="BalloonText">
    <w:name w:val="Balloon Text"/>
    <w:basedOn w:val="Normal"/>
    <w:link w:val="BalloonTextChar"/>
    <w:uiPriority w:val="99"/>
    <w:semiHidden/>
    <w:unhideWhenUsed/>
    <w:rsid w:val="00DF4E1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4E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160971">
      <w:bodyDiv w:val="1"/>
      <w:marLeft w:val="0"/>
      <w:marRight w:val="0"/>
      <w:marTop w:val="0"/>
      <w:marBottom w:val="0"/>
      <w:divBdr>
        <w:top w:val="none" w:sz="0" w:space="0" w:color="auto"/>
        <w:left w:val="none" w:sz="0" w:space="0" w:color="auto"/>
        <w:bottom w:val="none" w:sz="0" w:space="0" w:color="auto"/>
        <w:right w:val="none" w:sz="0" w:space="0" w:color="auto"/>
      </w:divBdr>
    </w:div>
    <w:div w:id="919215096">
      <w:bodyDiv w:val="1"/>
      <w:marLeft w:val="0"/>
      <w:marRight w:val="0"/>
      <w:marTop w:val="0"/>
      <w:marBottom w:val="0"/>
      <w:divBdr>
        <w:top w:val="none" w:sz="0" w:space="0" w:color="auto"/>
        <w:left w:val="none" w:sz="0" w:space="0" w:color="auto"/>
        <w:bottom w:val="none" w:sz="0" w:space="0" w:color="auto"/>
        <w:right w:val="none" w:sz="0" w:space="0" w:color="auto"/>
      </w:divBdr>
    </w:div>
    <w:div w:id="1130172547">
      <w:bodyDiv w:val="1"/>
      <w:marLeft w:val="0"/>
      <w:marRight w:val="0"/>
      <w:marTop w:val="0"/>
      <w:marBottom w:val="0"/>
      <w:divBdr>
        <w:top w:val="none" w:sz="0" w:space="0" w:color="auto"/>
        <w:left w:val="none" w:sz="0" w:space="0" w:color="auto"/>
        <w:bottom w:val="none" w:sz="0" w:space="0" w:color="auto"/>
        <w:right w:val="none" w:sz="0" w:space="0" w:color="auto"/>
      </w:divBdr>
    </w:div>
    <w:div w:id="1286472482">
      <w:bodyDiv w:val="1"/>
      <w:marLeft w:val="0"/>
      <w:marRight w:val="0"/>
      <w:marTop w:val="0"/>
      <w:marBottom w:val="0"/>
      <w:divBdr>
        <w:top w:val="none" w:sz="0" w:space="0" w:color="auto"/>
        <w:left w:val="none" w:sz="0" w:space="0" w:color="auto"/>
        <w:bottom w:val="none" w:sz="0" w:space="0" w:color="auto"/>
        <w:right w:val="none" w:sz="0" w:space="0" w:color="auto"/>
      </w:divBdr>
    </w:div>
    <w:div w:id="1299727099">
      <w:bodyDiv w:val="1"/>
      <w:marLeft w:val="0"/>
      <w:marRight w:val="0"/>
      <w:marTop w:val="0"/>
      <w:marBottom w:val="0"/>
      <w:divBdr>
        <w:top w:val="none" w:sz="0" w:space="0" w:color="auto"/>
        <w:left w:val="none" w:sz="0" w:space="0" w:color="auto"/>
        <w:bottom w:val="none" w:sz="0" w:space="0" w:color="auto"/>
        <w:right w:val="none" w:sz="0" w:space="0" w:color="auto"/>
      </w:divBdr>
    </w:div>
    <w:div w:id="1388990844">
      <w:bodyDiv w:val="1"/>
      <w:marLeft w:val="0"/>
      <w:marRight w:val="0"/>
      <w:marTop w:val="0"/>
      <w:marBottom w:val="0"/>
      <w:divBdr>
        <w:top w:val="none" w:sz="0" w:space="0" w:color="auto"/>
        <w:left w:val="none" w:sz="0" w:space="0" w:color="auto"/>
        <w:bottom w:val="none" w:sz="0" w:space="0" w:color="auto"/>
        <w:right w:val="none" w:sz="0" w:space="0" w:color="auto"/>
      </w:divBdr>
    </w:div>
    <w:div w:id="1421216069">
      <w:bodyDiv w:val="1"/>
      <w:marLeft w:val="0"/>
      <w:marRight w:val="0"/>
      <w:marTop w:val="0"/>
      <w:marBottom w:val="0"/>
      <w:divBdr>
        <w:top w:val="none" w:sz="0" w:space="0" w:color="auto"/>
        <w:left w:val="none" w:sz="0" w:space="0" w:color="auto"/>
        <w:bottom w:val="none" w:sz="0" w:space="0" w:color="auto"/>
        <w:right w:val="none" w:sz="0" w:space="0" w:color="auto"/>
      </w:divBdr>
    </w:div>
    <w:div w:id="146730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ING14</b:Tag>
    <b:SourceType>DocumentFromInternetSite</b:SourceType>
    <b:Guid>{8585090F-E6F5-44B4-A51D-0006C79ED675}</b:Guid>
    <b:Author>
      <b:Author>
        <b:Corporate>ING Groep N.V.</b:Corporate>
      </b:Author>
    </b:Author>
    <b:Title>In which season do you spend the most money? </b:Title>
    <b:InternetSiteTitle>Ezonomics</b:InternetSiteTitle>
    <b:Year>2014</b:Year>
    <b:Month>May</b:Month>
    <b:Day>7</b:Day>
    <b:URL>https://www.ezonomics.com/polls/in_which_season_do_you_spend_the_most_money/</b:URL>
    <b:RefOrder>1</b:RefOrder>
  </b:Source>
  <b:Source>
    <b:Tag>Eas15</b:Tag>
    <b:SourceType>Book</b:SourceType>
    <b:Guid>{647E5CDF-7AF1-49BF-94EE-A7A9DA05370B}</b:Guid>
    <b:Title>Financial Statement Analysis &amp; Valuation; fourth Edition </b:Title>
    <b:Year>2015</b:Year>
    <b:Author>
      <b:Author>
        <b:NameList>
          <b:Person>
            <b:Last>Easton</b:Last>
            <b:First>Peter</b:First>
            <b:Middle>D</b:Middle>
          </b:Person>
          <b:Person>
            <b:Last>McAnally</b:Last>
            <b:First>Mary</b:First>
            <b:Middle>Lea</b:Middle>
          </b:Person>
          <b:Person>
            <b:Last>Sommers</b:Last>
            <b:First>Greg</b:First>
          </b:Person>
          <b:Person>
            <b:Last>Zhang</b:Last>
            <b:First>Xiao-Jun</b:First>
          </b:Person>
        </b:NameList>
      </b:Author>
    </b:Author>
    <b:City>Cambridge </b:City>
    <b:Publisher>Cambridge Business Poblishers, LLC. </b:Publisher>
    <b:RefOrder>4</b:RefOrder>
  </b:Source>
  <b:Source>
    <b:Tag>Tob17</b:Tag>
    <b:SourceType>DocumentFromInternetSite</b:SourceType>
    <b:Guid>{ACBCDA92-0731-4DA3-929D-D77DF6E88C38}</b:Guid>
    <b:Title>Women Influence 83% of All Consumer Spending In U.S.</b:Title>
    <b:Year>2017</b:Year>
    <b:Author>
      <b:Author>
        <b:NameList>
          <b:Person>
            <b:Last>Tobias</b:Last>
            <b:First>Jeffery</b:First>
          </b:Person>
        </b:NameList>
      </b:Author>
    </b:Author>
    <b:InternetSiteTitle>Inclusionary Leadership Group</b:InternetSiteTitle>
    <b:Month>February </b:Month>
    <b:Day>10</b:Day>
    <b:URL>http://www.genderleadershipgroup.com/the-inclusionary-leadership-blog/210</b:URL>
    <b:RefOrder>5</b:RefOrder>
  </b:Source>
  <b:Source>
    <b:Tag>Sid18</b:Tag>
    <b:SourceType>InternetSite</b:SourceType>
    <b:Guid>{18300155-004E-4C47-8DB2-6B8A9F1C0989}</b:Guid>
    <b:Title>2018 Deloitte holiday retail survey</b:Title>
    <b:Year>2018</b:Year>
    <b:Author>
      <b:Author>
        <b:NameList>
          <b:Person>
            <b:Last>Sides</b:Last>
            <b:First>Rod</b:First>
          </b:Person>
          <b:Person>
            <b:Last>Furman</b:Last>
            <b:First>Bryan</b:First>
          </b:Person>
          <b:Person>
            <b:Last>Sangadi</b:Last>
            <b:First>Rama</b:First>
            <b:Middle>Krishna V</b:Middle>
          </b:Person>
          <b:Person>
            <b:Last>Hogan</b:Last>
            <b:First>Susan</b:First>
            <b:Middle>K.</b:Middle>
          </b:Person>
        </b:NameList>
      </b:Author>
    </b:Author>
    <b:InternetSiteTitle>Deloitte Insights</b:InternetSiteTitle>
    <b:Month>October </b:Month>
    <b:Day>23</b:Day>
    <b:URL>https://www2.deloitte.com/insights/us/en/industry/retail-distribution/holiday-retail-sales-consumer-survey.html</b:URL>
    <b:RefOrder>6</b:RefOrder>
  </b:Source>
  <b:Source>
    <b:Tag>Wik18</b:Tag>
    <b:SourceType>InternetSite</b:SourceType>
    <b:Guid>{E8B91055-EBF7-4D12-9A22-DFA53FFFF412}</b:Guid>
    <b:Author>
      <b:Author>
        <b:Corporate>Wikipedia</b:Corporate>
      </b:Author>
    </b:Author>
    <b:Title>The Gap, Inc. </b:Title>
    <b:InternetSiteTitle>Wikipedia, the free encyclopedia</b:InternetSiteTitle>
    <b:Year>2018</b:Year>
    <b:Month>Novemebr </b:Month>
    <b:Day>12</b:Day>
    <b:URL>https://en.wikipedia.org/wiki/Gap_Inc.</b:URL>
    <b:RefOrder>2</b:RefOrder>
  </b:Source>
  <b:Source>
    <b:Tag>Woh17</b:Tag>
    <b:SourceType>InternetSite</b:SourceType>
    <b:Guid>{DF0BAEAC-6819-471E-9FB3-915385067658}</b:Guid>
    <b:Author>
      <b:Author>
        <b:NameList>
          <b:Person>
            <b:Last>Wohlner</b:Last>
            <b:First>Roger</b:First>
          </b:Person>
        </b:NameList>
      </b:Author>
    </b:Author>
    <b:Title>Liquidity Measurement Ratio</b:Title>
    <b:InternetSiteTitle>Investopedia</b:InternetSiteTitle>
    <b:Year>2017</b:Year>
    <b:Month>May </b:Month>
    <b:Day>4</b:Day>
    <b:URL>https://www.investopedia.com/university/ratios/liquidity-measurement/</b:URL>
    <b:RefOrder>3</b:RefOrder>
  </b:Source>
</b:Sources>
</file>

<file path=customXml/itemProps1.xml><?xml version="1.0" encoding="utf-8"?>
<ds:datastoreItem xmlns:ds="http://schemas.openxmlformats.org/officeDocument/2006/customXml" ds:itemID="{7D35D398-BD2F-4688-98CA-495B121F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Nyota</dc:creator>
  <cp:keywords/>
  <dc:description/>
  <cp:lastModifiedBy>O'brien, Doyle (171)</cp:lastModifiedBy>
  <cp:revision>5</cp:revision>
  <dcterms:created xsi:type="dcterms:W3CDTF">2018-11-17T17:29:00Z</dcterms:created>
  <dcterms:modified xsi:type="dcterms:W3CDTF">2018-11-21T12:37:00Z</dcterms:modified>
</cp:coreProperties>
</file>